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2.xml" ContentType="application/xml"/>
  <Override PartName="/customXml/itemProps1.xml" ContentType="application/vnd.openxmlformats-officedocument.customXmlProperties+xml"/>
  <Override PartName="/customXml/item3.xml" ContentType="application/xml"/>
  <Override PartName="/customXml/itemProps2.xml" ContentType="application/vnd.openxmlformats-officedocument.customXmlProperties+xml"/>
  <Override PartName="/customXml/item4.xml" ContentType="application/xml"/>
  <Override PartName="/customXml/itemProps3.xml" ContentType="application/vnd.openxmlformats-officedocument.customXmlProperties+xml"/>
  <Override PartName="/customXml/itemProps4.xml" ContentType="application/vnd.openxmlformats-officedocument.customXmlProperties+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Verdana" w:hAnsi="Verdana" w:cs="Arial"/>
          <w:b/>
          <w:b/>
          <w:bCs/>
          <w:color w:val="000000"/>
          <w:sz w:val="22"/>
          <w:szCs w:val="22"/>
        </w:rPr>
      </w:pPr>
      <w:r>
        <w:rPr>
          <w:rFonts w:cs="Arial" w:ascii="Verdana" w:hAnsi="Verdana"/>
          <w:b/>
          <w:bCs/>
          <w:color w:val="000000"/>
          <w:sz w:val="22"/>
          <w:szCs w:val="22"/>
        </w:rPr>
        <w:drawing>
          <wp:anchor behindDoc="0" distT="0" distB="0" distL="114935" distR="114935" simplePos="0" locked="0" layoutInCell="0" allowOverlap="1" relativeHeight="2">
            <wp:simplePos x="0" y="0"/>
            <wp:positionH relativeFrom="column">
              <wp:posOffset>-234315</wp:posOffset>
            </wp:positionH>
            <wp:positionV relativeFrom="paragraph">
              <wp:posOffset>-709295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2"/>
                    <a:srcRect l="-1705" t="-1898" r="-1705" b="-1898"/>
                    <a:stretch>
                      <a:fillRect/>
                    </a:stretch>
                  </pic:blipFill>
                  <pic:spPr bwMode="auto">
                    <a:xfrm>
                      <a:off x="0" y="0"/>
                      <a:ext cx="618490" cy="513715"/>
                    </a:xfrm>
                    <a:prstGeom prst="rect">
                      <a:avLst/>
                    </a:prstGeom>
                  </pic:spPr>
                </pic:pic>
              </a:graphicData>
            </a:graphic>
          </wp:anchor>
        </w:drawing>
      </w:r>
    </w:p>
    <w:p>
      <w:pPr>
        <w:pStyle w:val="Normal"/>
        <w:jc w:val="center"/>
        <w:rPr>
          <w:rFonts w:ascii="Verdana" w:hAnsi="Verdana"/>
          <w:smallCaps/>
          <w:sz w:val="28"/>
          <w:szCs w:val="28"/>
        </w:rPr>
      </w:pPr>
      <w:r>
        <w:rPr>
          <w:rFonts w:cs="Arial" w:ascii="Verdana" w:hAnsi="Verdana"/>
          <w:b/>
          <w:bCs/>
          <w:smallCaps/>
          <w:color w:val="000000"/>
          <w:sz w:val="28"/>
          <w:szCs w:val="28"/>
        </w:rPr>
        <w:t xml:space="preserve">EDITAL </w:t>
      </w:r>
      <w:r>
        <w:rPr>
          <w:rFonts w:cs="Arial" w:ascii="Verdana" w:hAnsi="Verdana"/>
          <w:b/>
          <w:bCs/>
          <w:smallCaps/>
          <w:color w:val="000000"/>
          <w:sz w:val="28"/>
          <w:szCs w:val="28"/>
        </w:rPr>
        <w:t>DE</w:t>
      </w:r>
    </w:p>
    <w:p>
      <w:pPr>
        <w:pStyle w:val="Normal"/>
        <w:jc w:val="center"/>
        <w:rPr>
          <w:rFonts w:ascii="Verdana" w:hAnsi="Verdana"/>
          <w:smallCaps/>
          <w:sz w:val="28"/>
          <w:szCs w:val="28"/>
        </w:rPr>
      </w:pPr>
      <w:r>
        <w:rPr>
          <w:rFonts w:cs="Arial" w:ascii="Verdana" w:hAnsi="Verdana"/>
          <w:b/>
          <w:bCs/>
          <w:smallCaps/>
          <w:color w:val="000000"/>
          <w:sz w:val="28"/>
          <w:szCs w:val="28"/>
        </w:rPr>
        <w:t>PREGÃO ELETRÔNICO Nº 023/2022</w:t>
      </w:r>
    </w:p>
    <w:p>
      <w:pPr>
        <w:pStyle w:val="Normal"/>
        <w:jc w:val="center"/>
        <w:rPr>
          <w:smallCaps/>
          <w:sz w:val="28"/>
          <w:szCs w:val="28"/>
        </w:rPr>
      </w:pPr>
      <w:r>
        <w:rPr>
          <w:rFonts w:cs="Arial" w:ascii="Verdana" w:hAnsi="Verdana"/>
          <w:bCs/>
          <w:smallCaps/>
          <w:color w:val="000000"/>
          <w:sz w:val="28"/>
          <w:szCs w:val="28"/>
        </w:rPr>
        <w:t xml:space="preserve">(Processo Administrativo n° </w:t>
      </w:r>
      <w:r>
        <w:rPr>
          <w:rFonts w:eastAsia="" w:cs="Arial" w:ascii="Verdana" w:hAnsi="Verdana"/>
          <w:bCs/>
          <w:smallCaps/>
          <w:color w:val="000000"/>
          <w:kern w:val="0"/>
          <w:sz w:val="28"/>
          <w:szCs w:val="28"/>
          <w:lang w:val="pt-BR" w:eastAsia="pt-BR" w:bidi="ar-SA"/>
        </w:rPr>
        <w:t>2944</w:t>
      </w:r>
      <w:r>
        <w:rPr>
          <w:rFonts w:cs="Arial" w:ascii="Verdana" w:hAnsi="Verdana"/>
          <w:bCs/>
          <w:smallCaps/>
          <w:color w:val="000000"/>
          <w:sz w:val="28"/>
          <w:szCs w:val="28"/>
          <w:lang w:eastAsia="pt-BR"/>
        </w:rPr>
        <w:t>/2022 de 28/04/2022</w:t>
      </w:r>
      <w:r>
        <w:rPr>
          <w:rFonts w:cs="Arial" w:ascii="Verdana" w:hAnsi="Verdana"/>
          <w:bCs/>
          <w:smallCaps/>
          <w:color w:val="000000"/>
          <w:sz w:val="28"/>
          <w:szCs w:val="28"/>
        </w:rPr>
        <w:t>)</w:t>
      </w:r>
    </w:p>
    <w:p>
      <w:pPr>
        <w:pStyle w:val="Corpodotexto"/>
        <w:spacing w:lineRule="auto" w:line="276" w:before="280" w:after="280"/>
        <w:ind w:left="0" w:right="0" w:hanging="0"/>
        <w:jc w:val="both"/>
        <w:rPr>
          <w:rFonts w:ascii="Verdana" w:hAnsi="Verdana"/>
          <w:sz w:val="22"/>
          <w:szCs w:val="22"/>
        </w:rPr>
      </w:pPr>
      <w:r>
        <w:rPr>
          <w:rFonts w:eastAsia="Arial" w:cs="Verdana" w:ascii="Verdana" w:hAnsi="Verdana"/>
          <w:b w:val="false"/>
          <w:bCs w:val="false"/>
          <w:color w:val="000000"/>
          <w:sz w:val="22"/>
          <w:szCs w:val="22"/>
          <w:lang w:eastAsia="en-US"/>
        </w:rPr>
        <w:t xml:space="preserve">A Prefeitura Municipal de São Gabriel da Palha-ES, localizada na Praça Vicente Glazar, nº 159, </w:t>
      </w:r>
      <w:r>
        <w:rPr>
          <w:rFonts w:eastAsia="Arial" w:cs="Verdana" w:ascii="Verdana" w:hAnsi="Verdana"/>
          <w:b w:val="false"/>
          <w:bCs w:val="false"/>
          <w:color w:val="auto"/>
          <w:kern w:val="2"/>
          <w:sz w:val="22"/>
          <w:szCs w:val="22"/>
          <w:lang w:val="pt-BR" w:eastAsia="en-US" w:bidi="ar-SA"/>
        </w:rPr>
        <w:t>Glória</w:t>
      </w:r>
      <w:r>
        <w:rPr>
          <w:rFonts w:eastAsia="Arial" w:cs="Verdana" w:ascii="Verdana" w:hAnsi="Verdana"/>
          <w:b w:val="false"/>
          <w:bCs w:val="false"/>
          <w:color w:val="000000"/>
          <w:sz w:val="22"/>
          <w:szCs w:val="22"/>
          <w:lang w:eastAsia="en-US"/>
        </w:rPr>
        <w:t xml:space="preserve">, São Gabriel da Palha-ES, torna público que realizará procedimento de licitação na modalidade Pregão Eletrônico, por meio do critério de julgamento menor preço, com amparo na Lei nº 10.520/2002, Lei Complementar nº 123/2006, Lei Complementar Estadual nº 618/2012 e Decreto Federal nº 10.024/2019, aplicando-se subsidiariamente a Lei nº 8.666/1993, por meio Pregoeiro e Equipe de Apoio designados pela Portaria nº </w:t>
      </w:r>
      <w:r>
        <w:rPr>
          <w:rFonts w:eastAsia="Arial" w:cs="Verdana" w:ascii="Verdana" w:hAnsi="Verdana"/>
          <w:b w:val="false"/>
          <w:bCs w:val="false"/>
          <w:color w:val="auto"/>
          <w:kern w:val="2"/>
          <w:sz w:val="22"/>
          <w:szCs w:val="22"/>
          <w:lang w:val="pt-BR" w:eastAsia="en-US" w:bidi="ar-SA"/>
        </w:rPr>
        <w:t>5.592</w:t>
      </w:r>
      <w:r>
        <w:rPr>
          <w:rFonts w:eastAsia="Arial" w:cs="Verdana" w:ascii="Verdana" w:hAnsi="Verdana"/>
          <w:b w:val="false"/>
          <w:bCs w:val="false"/>
          <w:color w:val="000000"/>
          <w:sz w:val="22"/>
          <w:szCs w:val="22"/>
          <w:lang w:eastAsia="en-US"/>
        </w:rPr>
        <w:t>/2021.</w:t>
      </w:r>
    </w:p>
    <w:p>
      <w:pPr>
        <w:pStyle w:val="Normal"/>
        <w:spacing w:lineRule="auto" w:line="276"/>
        <w:jc w:val="both"/>
        <w:rPr>
          <w:b/>
          <w:b/>
          <w:bCs/>
        </w:rPr>
      </w:pPr>
      <w:r>
        <w:rPr>
          <w:rFonts w:cs="Arial" w:ascii="Verdana" w:hAnsi="Verdana"/>
          <w:b/>
          <w:bCs/>
          <w:color w:val="000000"/>
          <w:sz w:val="22"/>
          <w:szCs w:val="22"/>
        </w:rPr>
        <w:t xml:space="preserve">Data da sessão: </w:t>
      </w:r>
      <w:r>
        <w:rPr>
          <w:rFonts w:cs="Arial" w:ascii="Verdana" w:hAnsi="Verdana"/>
          <w:b/>
          <w:bCs/>
          <w:color w:val="000000"/>
          <w:sz w:val="22"/>
          <w:szCs w:val="22"/>
        </w:rPr>
        <w:t>22</w:t>
      </w:r>
      <w:r>
        <w:rPr>
          <w:rFonts w:cs="Arial" w:ascii="Verdana" w:hAnsi="Verdana"/>
          <w:b/>
          <w:bCs/>
          <w:color w:val="000000"/>
          <w:sz w:val="22"/>
          <w:szCs w:val="22"/>
        </w:rPr>
        <w:t>/</w:t>
      </w:r>
      <w:r>
        <w:rPr>
          <w:rFonts w:cs="Arial" w:ascii="Verdana" w:hAnsi="Verdana"/>
          <w:b/>
          <w:bCs/>
          <w:color w:val="000000"/>
          <w:sz w:val="22"/>
          <w:szCs w:val="22"/>
        </w:rPr>
        <w:t>06</w:t>
      </w:r>
      <w:r>
        <w:rPr>
          <w:rFonts w:cs="Arial" w:ascii="Verdana" w:hAnsi="Verdana"/>
          <w:b/>
          <w:bCs/>
          <w:color w:val="000000"/>
          <w:sz w:val="22"/>
          <w:szCs w:val="22"/>
        </w:rPr>
        <w:t>/2022.</w:t>
      </w:r>
    </w:p>
    <w:p>
      <w:pPr>
        <w:pStyle w:val="Normal"/>
        <w:spacing w:lineRule="auto" w:line="276"/>
        <w:rPr>
          <w:b/>
          <w:b/>
          <w:bCs/>
        </w:rPr>
      </w:pPr>
      <w:r>
        <w:rPr>
          <w:rFonts w:cs="Arial" w:ascii="Verdana" w:hAnsi="Verdana"/>
          <w:b/>
          <w:bCs/>
          <w:color w:val="000000"/>
          <w:sz w:val="22"/>
          <w:szCs w:val="22"/>
        </w:rPr>
        <w:t xml:space="preserve">Horário: </w:t>
      </w:r>
      <w:bookmarkStart w:id="0" w:name="_GoBack"/>
      <w:bookmarkEnd w:id="0"/>
      <w:r>
        <w:rPr>
          <w:rFonts w:cs="Arial" w:ascii="Verdana" w:hAnsi="Verdana"/>
          <w:b/>
          <w:bCs/>
          <w:color w:val="000000"/>
          <w:sz w:val="22"/>
          <w:szCs w:val="22"/>
        </w:rPr>
        <w:t>13</w:t>
      </w:r>
      <w:r>
        <w:rPr>
          <w:rFonts w:cs="Arial" w:ascii="Verdana" w:hAnsi="Verdana"/>
          <w:b/>
          <w:bCs/>
          <w:color w:val="000000"/>
          <w:sz w:val="22"/>
          <w:szCs w:val="22"/>
        </w:rPr>
        <w:t>h</w:t>
      </w:r>
      <w:r>
        <w:rPr>
          <w:rFonts w:cs="Arial" w:ascii="Verdana" w:hAnsi="Verdana"/>
          <w:b/>
          <w:bCs/>
          <w:color w:val="000000"/>
          <w:sz w:val="22"/>
          <w:szCs w:val="22"/>
        </w:rPr>
        <w:t>00</w:t>
      </w:r>
      <w:r>
        <w:rPr>
          <w:rFonts w:cs="Arial" w:ascii="Verdana" w:hAnsi="Verdana"/>
          <w:b/>
          <w:bCs/>
          <w:color w:val="000000"/>
          <w:sz w:val="22"/>
          <w:szCs w:val="22"/>
        </w:rPr>
        <w:t>min.</w:t>
      </w:r>
    </w:p>
    <w:p>
      <w:pPr>
        <w:pStyle w:val="Normal"/>
        <w:spacing w:lineRule="auto" w:line="276"/>
        <w:rPr>
          <w:rFonts w:ascii="Verdana" w:hAnsi="Verdana"/>
          <w:sz w:val="24"/>
          <w:szCs w:val="24"/>
        </w:rPr>
      </w:pPr>
      <w:r>
        <w:rPr>
          <w:rFonts w:cs="Arial" w:ascii="Verdana" w:hAnsi="Verdana"/>
          <w:b/>
          <w:bCs/>
          <w:color w:val="000000"/>
          <w:sz w:val="20"/>
          <w:szCs w:val="20"/>
        </w:rPr>
        <w:t xml:space="preserve">Local: Portal de Compras do Governo Federal – </w:t>
      </w:r>
      <w:hyperlink r:id="rId3">
        <w:r>
          <w:rPr>
            <w:rStyle w:val="LinkdaInternet"/>
            <w:rFonts w:cs="Arial" w:ascii="Verdana" w:hAnsi="Verdana"/>
            <w:b/>
            <w:bCs/>
            <w:color w:val="000000"/>
            <w:sz w:val="20"/>
            <w:szCs w:val="20"/>
          </w:rPr>
          <w:t>www.comprasgovernamentais.gov.br</w:t>
        </w:r>
      </w:hyperlink>
      <w:r>
        <w:rPr>
          <w:rFonts w:cs="Arial" w:ascii="Verdana" w:hAnsi="Verdana"/>
          <w:b/>
          <w:bCs/>
          <w:color w:val="000000"/>
          <w:sz w:val="20"/>
          <w:szCs w:val="20"/>
        </w:rPr>
        <w:t>.</w:t>
      </w:r>
      <w:r>
        <w:rPr>
          <w:rFonts w:cs="Arial" w:ascii="Verdana" w:hAnsi="Verdana"/>
          <w:color w:val="000000"/>
          <w:sz w:val="22"/>
          <w:szCs w:val="22"/>
        </w:rPr>
        <w:t xml:space="preserve"> </w:t>
      </w:r>
    </w:p>
    <w:p>
      <w:pPr>
        <w:pStyle w:val="Normal"/>
        <w:spacing w:lineRule="auto" w:line="276"/>
        <w:rPr>
          <w:rFonts w:cs="Arial"/>
          <w:color w:val="000000"/>
        </w:rPr>
      </w:pPr>
      <w:r>
        <w:rPr>
          <w:rFonts w:cs="Arial"/>
          <w:color w:val="000000"/>
        </w:rPr>
      </w:r>
    </w:p>
    <w:p>
      <w:pPr>
        <w:pStyle w:val="Nivel01"/>
        <w:numPr>
          <w:ilvl w:val="0"/>
          <w:numId w:val="2"/>
        </w:numPr>
        <w:rPr>
          <w:rFonts w:ascii="Verdana" w:hAnsi="Verdana"/>
          <w:sz w:val="22"/>
          <w:szCs w:val="22"/>
        </w:rPr>
      </w:pPr>
      <w:r>
        <w:rPr>
          <w:rFonts w:cs="Arial" w:ascii="Verdana" w:hAnsi="Verdana"/>
          <w:sz w:val="22"/>
          <w:szCs w:val="22"/>
        </w:rPr>
        <w:t>DO OBJETO</w:t>
      </w:r>
    </w:p>
    <w:p>
      <w:pPr>
        <w:pStyle w:val="Normal"/>
        <w:rPr>
          <w:rFonts w:ascii="Verdana" w:hAnsi="Verdana"/>
          <w:sz w:val="22"/>
          <w:szCs w:val="22"/>
        </w:rPr>
      </w:pPr>
      <w:r>
        <w:rPr>
          <w:rFonts w:ascii="Verdana" w:hAnsi="Verdana"/>
          <w:sz w:val="22"/>
          <w:szCs w:val="22"/>
        </w:rPr>
      </w:r>
    </w:p>
    <w:p>
      <w:pPr>
        <w:pStyle w:val="ListParagraph"/>
        <w:numPr>
          <w:ilvl w:val="0"/>
          <w:numId w:val="0"/>
        </w:numPr>
        <w:ind w:left="0" w:hanging="0"/>
        <w:jc w:val="both"/>
        <w:rPr>
          <w:rFonts w:ascii="Verdana" w:hAnsi="Verdana"/>
          <w:sz w:val="22"/>
          <w:szCs w:val="22"/>
        </w:rPr>
      </w:pPr>
      <w:r>
        <w:rPr>
          <w:rFonts w:cs="Arial" w:ascii="Verdana" w:hAnsi="Verdana"/>
          <w:color w:val="000000"/>
          <w:sz w:val="22"/>
          <w:szCs w:val="22"/>
        </w:rPr>
        <w:t xml:space="preserve">1.1 O objeto da presente licitação é a </w:t>
      </w:r>
      <w:r>
        <w:rPr>
          <w:rFonts w:cs="Tahoma" w:ascii="Verdana" w:hAnsi="Verdana"/>
          <w:b/>
          <w:bCs/>
          <w:color w:val="000000"/>
          <w:sz w:val="22"/>
          <w:szCs w:val="22"/>
        </w:rPr>
        <w:t xml:space="preserve">Constituição de Registro de Preços </w:t>
      </w:r>
      <w:r>
        <w:rPr>
          <w:rFonts w:cs="Tahoma" w:ascii="Verdana" w:hAnsi="Verdana"/>
          <w:b w:val="false"/>
          <w:bCs w:val="false"/>
          <w:color w:val="000000"/>
          <w:sz w:val="22"/>
          <w:szCs w:val="22"/>
        </w:rPr>
        <w:t>para futura e eventual aquisição de materiais médicos hospitalares específicos (Anexo I), para atender as necessidades da Secretaria Municipal de Saúde</w:t>
      </w:r>
      <w:r>
        <w:rPr>
          <w:rFonts w:cs="Arial" w:ascii="Verdana" w:hAnsi="Verdana"/>
          <w:sz w:val="22"/>
          <w:szCs w:val="22"/>
        </w:rPr>
        <w:t>, conforme condições, quantidades e exigências estabelecidas neste Edital e seus anexos.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iCs/>
          <w:color w:val="000000" w:themeColor="text1"/>
          <w:sz w:val="22"/>
          <w:szCs w:val="22"/>
        </w:rPr>
        <w:t>1.2 A licitação será dividida em itens</w:t>
      </w:r>
      <w:r>
        <w:rPr>
          <w:rFonts w:cs="Arial" w:ascii="Verdana" w:hAnsi="Verdana"/>
          <w:b/>
          <w:iCs/>
          <w:color w:val="000000" w:themeColor="text1"/>
          <w:sz w:val="22"/>
          <w:szCs w:val="22"/>
        </w:rPr>
        <w:t>,</w:t>
      </w:r>
      <w:r>
        <w:rPr>
          <w:rFonts w:cs="Arial" w:ascii="Verdana" w:hAnsi="Verdana"/>
          <w:iCs/>
          <w:color w:val="000000" w:themeColor="text1"/>
          <w:sz w:val="22"/>
          <w:szCs w:val="22"/>
        </w:rPr>
        <w:t xml:space="preserve"> conforme tabela constante do </w:t>
      </w:r>
      <w:r>
        <w:rPr>
          <w:rFonts w:eastAsia="" w:cs="Arial" w:ascii="Verdana" w:hAnsi="Verdana"/>
          <w:iCs/>
          <w:color w:val="000000" w:themeColor="text1"/>
          <w:kern w:val="0"/>
          <w:sz w:val="22"/>
          <w:szCs w:val="22"/>
          <w:lang w:val="pt-BR" w:eastAsia="pt-BR" w:bidi="ar-SA"/>
        </w:rPr>
        <w:t>Anexo I</w:t>
      </w:r>
      <w:r>
        <w:rPr>
          <w:rFonts w:cs="Arial" w:ascii="Verdana" w:hAnsi="Verdana"/>
          <w:iCs/>
          <w:color w:val="000000" w:themeColor="text1"/>
          <w:sz w:val="22"/>
          <w:szCs w:val="22"/>
        </w:rPr>
        <w:t>, facultando-se ao licitante a participação em quantos itens forem de seu interesse.</w:t>
      </w:r>
      <w:r>
        <w:rPr>
          <w:rFonts w:cs="Arial" w:ascii="Verdana" w:hAnsi="Verdana"/>
          <w:b/>
          <w:iCs/>
          <w:color w:val="000000" w:themeColor="text1"/>
          <w:sz w:val="22"/>
          <w:szCs w:val="22"/>
        </w:rPr>
        <w:t xml:space="preserve">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iCs/>
          <w:color w:val="000000" w:themeColor="text1"/>
          <w:sz w:val="22"/>
          <w:szCs w:val="22"/>
        </w:rPr>
        <w:t xml:space="preserve">1.3 O critério de julgamento adotado será o menor preço do item, observadas as exigências contidas neste Edital e seus Anexos quanto às especificações do objeto. </w:t>
      </w:r>
    </w:p>
    <w:p>
      <w:pPr>
        <w:pStyle w:val="Nivel01"/>
        <w:numPr>
          <w:ilvl w:val="0"/>
          <w:numId w:val="2"/>
        </w:numPr>
        <w:rPr>
          <w:rFonts w:ascii="Verdana" w:hAnsi="Verdana"/>
          <w:sz w:val="22"/>
          <w:szCs w:val="22"/>
        </w:rPr>
      </w:pPr>
      <w:r>
        <w:rPr>
          <w:rFonts w:cs="Arial" w:ascii="Verdana" w:hAnsi="Verdana"/>
          <w:sz w:val="22"/>
          <w:szCs w:val="22"/>
        </w:rPr>
        <w:t xml:space="preserve">DO REGISTRO DE PREÇOS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rPr>
        <w:t>2.1 As regras referentes aos órgãos gerenciador e participantes, bem como a eventuais adesões são as que constam da minuta de Ata de Registro de Preços.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rPr>
        <w:t xml:space="preserve">2.2 Tratando-se do Sistema Registro de preços a declaração de disponibilidade orçamentária e financeira, nos termos do art. 7º § 2º do Decreto Municipal nº 441/20214, art. 8, inciso IV do Decreto n° 10.024, de 2019, c/c art. 14 e o caput do art. 38 da Lei n° 8.666/93, com a devida indicação orçamentária ficará postergada para o momento da assinatura do contrato ou instrumento equivalente. </w:t>
      </w:r>
    </w:p>
    <w:p>
      <w:pPr>
        <w:pStyle w:val="Nivel01"/>
        <w:numPr>
          <w:ilvl w:val="0"/>
          <w:numId w:val="2"/>
        </w:numPr>
        <w:rPr>
          <w:rFonts w:ascii="Verdana" w:hAnsi="Verdana"/>
          <w:sz w:val="22"/>
          <w:szCs w:val="22"/>
        </w:rPr>
      </w:pPr>
      <w:r>
        <w:rPr>
          <w:rFonts w:cs="Arial" w:ascii="Verdana" w:hAnsi="Verdana"/>
          <w:sz w:val="22"/>
          <w:szCs w:val="22"/>
        </w:rPr>
        <w:t>DO CREDENCIAMENTO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bCs/>
          <w:iCs/>
          <w:color w:val="000000"/>
          <w:sz w:val="22"/>
          <w:szCs w:val="22"/>
        </w:rPr>
        <w:t>3.1 O Credenciamento é o nível básico do registro cadastral no SICAF, que permite a participação dos interessados na modalidade licitatória Pregão, em sua forma eletrônica.</w:t>
      </w:r>
    </w:p>
    <w:p>
      <w:pPr>
        <w:pStyle w:val="Normal"/>
        <w:numPr>
          <w:ilvl w:val="0"/>
          <w:numId w:val="0"/>
        </w:numPr>
        <w:spacing w:lineRule="auto" w:line="276" w:before="120" w:after="120"/>
        <w:ind w:left="0" w:hanging="0"/>
        <w:jc w:val="both"/>
        <w:rPr/>
      </w:pPr>
      <w:r>
        <w:rPr>
          <w:rFonts w:cs="Arial" w:ascii="Verdana" w:hAnsi="Verdana"/>
          <w:bCs/>
          <w:iCs/>
          <w:color w:val="000000"/>
          <w:sz w:val="22"/>
          <w:szCs w:val="22"/>
        </w:rPr>
        <w:t xml:space="preserve">3.2 O cadastro no SICAF deverá ser feito no Portal de Compras do Governo Federal, no sítio </w:t>
      </w:r>
      <w:hyperlink r:id="rId4">
        <w:r>
          <w:rPr>
            <w:rStyle w:val="LinkdaInternet"/>
            <w:rFonts w:ascii="Verdana" w:hAnsi="Verdana"/>
            <w:bCs/>
            <w:iCs/>
            <w:color w:val="000000"/>
            <w:sz w:val="22"/>
            <w:szCs w:val="22"/>
          </w:rPr>
          <w:t>www.comprasgovernamentais.gov.br</w:t>
        </w:r>
      </w:hyperlink>
      <w:r>
        <w:rPr>
          <w:rFonts w:ascii="Verdana" w:hAnsi="Verdana"/>
          <w:bCs/>
          <w:iCs/>
          <w:color w:val="000000"/>
          <w:sz w:val="22"/>
          <w:szCs w:val="22"/>
        </w:rPr>
        <w:t xml:space="preserve">, </w:t>
      </w:r>
      <w:r>
        <w:rPr>
          <w:rFonts w:cs="Arial" w:ascii="Verdana" w:hAnsi="Verdana"/>
          <w:bCs/>
          <w:iCs/>
          <w:color w:val="000000"/>
          <w:sz w:val="22"/>
          <w:szCs w:val="22"/>
        </w:rPr>
        <w:t>por meio de certificado digital conferido pela Infraestrutura de Chaves Públicas Brasileira – ICP – Brasil.</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rPr>
        <w:t>3.3 O credenciamento junto ao provedor do sistema implica a responsabilidade do licitante ou de seu representante legal e a presunção de sua capacidade técnica para realização das transações inerentes a este Pregão.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rPr>
        <w:t>3.4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Pr>
          <w:rFonts w:cs="Arial" w:ascii="Verdana" w:hAnsi="Verdana"/>
          <w:color w:val="000000" w:themeColor="text1"/>
          <w:sz w:val="22"/>
          <w:szCs w:val="22"/>
        </w:rPr>
        <w:t>.</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sz w:val="22"/>
          <w:szCs w:val="22"/>
        </w:rPr>
        <w:t>3.5 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pPr>
        <w:pStyle w:val="Normal"/>
        <w:spacing w:lineRule="auto" w:line="276" w:before="120" w:after="120"/>
        <w:jc w:val="both"/>
        <w:rPr>
          <w:rFonts w:ascii="Verdana" w:hAnsi="Verdana"/>
          <w:sz w:val="22"/>
          <w:szCs w:val="22"/>
        </w:rPr>
      </w:pPr>
      <w:r>
        <w:rPr>
          <w:rFonts w:cs="Arial" w:ascii="Verdana" w:hAnsi="Verdana"/>
          <w:color w:val="000000"/>
          <w:sz w:val="22"/>
          <w:szCs w:val="22"/>
        </w:rPr>
        <w:t>3.5.1 A não observância do disposto no subitem anterior poderá ensejar desclassificação no momento da habilitação</w:t>
      </w:r>
    </w:p>
    <w:p>
      <w:pPr>
        <w:pStyle w:val="Nivel01"/>
        <w:numPr>
          <w:ilvl w:val="0"/>
          <w:numId w:val="2"/>
        </w:numPr>
        <w:rPr>
          <w:rFonts w:ascii="Verdana" w:hAnsi="Verdana"/>
          <w:sz w:val="22"/>
          <w:szCs w:val="22"/>
        </w:rPr>
      </w:pPr>
      <w:r>
        <w:rPr>
          <w:rFonts w:cs="Arial" w:ascii="Verdana" w:hAnsi="Verdana"/>
          <w:sz w:val="22"/>
          <w:szCs w:val="22"/>
        </w:rPr>
        <w:t>DA PARTICIPAÇÃO NO PREGÃO.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bCs/>
          <w:color w:val="000000"/>
          <w:sz w:val="22"/>
          <w:szCs w:val="22"/>
        </w:rPr>
        <w:t>4.1 Poderão participar deste Pregão interessados cujo ramo de atividade seja compatível com o objeto desta licitação, e que estejam com Credenciamento regular no</w:t>
      </w:r>
      <w:r>
        <w:rPr>
          <w:rFonts w:cs="Arial" w:ascii="Verdana" w:hAnsi="Verdana"/>
          <w:color w:val="000000"/>
          <w:sz w:val="22"/>
          <w:szCs w:val="22"/>
        </w:rPr>
        <w:t xml:space="preserve"> Sistema de Cadastramento Unificado de Fornecedores – SICAF, </w:t>
      </w:r>
      <w:r>
        <w:rPr>
          <w:rFonts w:cs="Arial" w:ascii="Verdana" w:hAnsi="Verdana"/>
          <w:bCs/>
          <w:color w:val="000000"/>
          <w:sz w:val="22"/>
          <w:szCs w:val="22"/>
        </w:rPr>
        <w:t>conforme disposto no art. 9º da IN SEGES/MP nº 3, de 2018.</w:t>
      </w:r>
    </w:p>
    <w:p>
      <w:pPr>
        <w:pStyle w:val="Normal"/>
        <w:widowControl/>
        <w:numPr>
          <w:ilvl w:val="2"/>
          <w:numId w:val="2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Os licitantes deverão utilizar o certificado digital para acesso ao Sistema.</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bCs/>
          <w:iCs/>
          <w:color w:val="000000"/>
          <w:sz w:val="22"/>
          <w:szCs w:val="22"/>
        </w:rPr>
        <w:t>4.2 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pPr>
        <w:pStyle w:val="Normal"/>
        <w:numPr>
          <w:ilvl w:val="0"/>
          <w:numId w:val="0"/>
        </w:numPr>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4.3 Não poderão participar desta licitação os interessados:</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sz w:val="22"/>
          <w:szCs w:val="22"/>
        </w:rPr>
        <w:t>4.3.1 Proibidos de participar de licitações e celebrar contratos administrativos, na forma da legislação vigente;</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sz w:val="22"/>
          <w:szCs w:val="22"/>
        </w:rPr>
        <w:t>4.3.2 Que não atendam às condições deste Edital e seu(s) anexo(s);</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4.3.2.1 Estrangeiros que não tenham representação legal no Brasil com poderes expressos para receber citação e responder administrativa ou judicialmente;</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eastAsia="Arial Unicode MS" w:cs="Arial" w:ascii="Verdana" w:hAnsi="Verdana"/>
          <w:color w:val="000000"/>
          <w:sz w:val="22"/>
          <w:szCs w:val="22"/>
        </w:rPr>
        <w:t>4.3.2.2 Que se enquadrem nas vedações previstas no artigo 9º da Lei nº 8.666, de 1993;</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color w:val="000000"/>
          <w:sz w:val="22"/>
          <w:szCs w:val="22"/>
        </w:rPr>
        <w:t xml:space="preserve">4.3.2.3 Que estejam sob falência, concurso de credores, </w:t>
      </w:r>
      <w:r>
        <w:rPr>
          <w:rFonts w:cs="Arial" w:ascii="Verdana" w:hAnsi="Verdana"/>
          <w:sz w:val="22"/>
          <w:szCs w:val="22"/>
        </w:rPr>
        <w:t xml:space="preserve">concordata ou </w:t>
      </w:r>
      <w:r>
        <w:rPr>
          <w:rFonts w:cs="Arial" w:ascii="Verdana" w:hAnsi="Verdana"/>
          <w:color w:val="000000"/>
          <w:sz w:val="22"/>
          <w:szCs w:val="22"/>
        </w:rPr>
        <w:t>em processo de dissolução ou liquidação;</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sz w:val="22"/>
          <w:szCs w:val="22"/>
        </w:rPr>
        <w:t>4.3.2.4 Entidades empresariais que estejam reunidas em consórcio;</w:t>
      </w:r>
    </w:p>
    <w:p>
      <w:pPr>
        <w:pStyle w:val="Normal"/>
        <w:numPr>
          <w:ilvl w:val="0"/>
          <w:numId w:val="0"/>
        </w:numPr>
        <w:tabs>
          <w:tab w:val="clear" w:pos="720"/>
          <w:tab w:val="left" w:pos="1440" w:leader="none"/>
        </w:tabs>
        <w:snapToGrid w:val="false"/>
        <w:spacing w:lineRule="auto" w:line="276" w:before="120" w:after="120"/>
        <w:ind w:left="0" w:hanging="0"/>
        <w:jc w:val="both"/>
        <w:rPr>
          <w:rFonts w:eastAsia="" w:eastAsiaTheme="minorEastAsia"/>
          <w:color w:val="000000"/>
          <w:shd w:fill="auto" w:val="clear"/>
        </w:rPr>
      </w:pPr>
      <w:r>
        <w:rPr>
          <w:rFonts w:eastAsia="" w:cs="Arial" w:ascii="Verdana" w:hAnsi="Verdana" w:eastAsiaTheme="minorEastAsia"/>
          <w:b/>
          <w:color w:val="000000"/>
          <w:sz w:val="22"/>
          <w:szCs w:val="22"/>
          <w:shd w:fill="auto" w:val="clear"/>
        </w:rPr>
        <w:t xml:space="preserve">Nota </w:t>
      </w:r>
      <w:r>
        <w:rPr>
          <w:rFonts w:eastAsia="" w:ascii="Verdana" w:hAnsi="Verdana" w:eastAsiaTheme="minorEastAsia"/>
          <w:b/>
          <w:color w:val="000000"/>
          <w:sz w:val="22"/>
          <w:szCs w:val="22"/>
          <w:shd w:fill="auto" w:val="clear"/>
        </w:rPr>
        <w:t>Explicativa</w:t>
      </w:r>
      <w:r>
        <w:rPr>
          <w:rFonts w:eastAsia="" w:ascii="Verdana" w:hAnsi="Verdana" w:eastAsiaTheme="minorEastAsia"/>
          <w:b w:val="false"/>
          <w:color w:val="000000"/>
          <w:sz w:val="22"/>
          <w:szCs w:val="22"/>
          <w:shd w:fill="auto" w:val="clear"/>
        </w:rPr>
        <w:t>: O presente edital não prevê as condições de participação de empresas reunidas em consórcio, vez que a experiência prática demonstra que as licitações que permitem essa participação são aquelas que envolvem serviços de grande vulto e/ou de alta complexidade técnica.</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color w:val="000000"/>
          <w:sz w:val="22"/>
          <w:szCs w:val="22"/>
        </w:rPr>
        <w:t>4.3.2.5 Organizações da Sociedade Civil de Interesse Público – OSCIP, atuando nessa condição (Acórdão nº 746/2014-TCU-Plenário).</w:t>
      </w:r>
    </w:p>
    <w:p>
      <w:pPr>
        <w:pStyle w:val="Normal"/>
        <w:numPr>
          <w:ilvl w:val="0"/>
          <w:numId w:val="0"/>
        </w:numPr>
        <w:snapToGrid w:val="false"/>
        <w:spacing w:lineRule="auto" w:line="276" w:before="120" w:after="120"/>
        <w:ind w:left="0" w:hanging="0"/>
        <w:jc w:val="both"/>
        <w:rPr>
          <w:sz w:val="22"/>
          <w:szCs w:val="22"/>
        </w:rPr>
      </w:pPr>
      <w:r>
        <w:rPr>
          <w:rFonts w:cs="Arial" w:ascii="Verdana" w:hAnsi="Verdana"/>
          <w:color w:val="000000"/>
          <w:sz w:val="22"/>
          <w:szCs w:val="22"/>
        </w:rPr>
        <w:t>4.4 Como condição para participação no Pregão, a licitante assinalará “</w:t>
      </w:r>
      <w:r>
        <w:rPr>
          <w:rFonts w:cs="Arial" w:ascii="Verdana" w:hAnsi="Verdana"/>
          <w:color w:val="000000"/>
          <w:sz w:val="22"/>
          <w:szCs w:val="22"/>
          <w:lang w:eastAsia="pt-BR"/>
        </w:rPr>
        <w:t>SIM</w:t>
      </w:r>
      <w:r>
        <w:rPr>
          <w:rFonts w:cs="Arial" w:ascii="Verdana" w:hAnsi="Verdana"/>
          <w:color w:val="000000"/>
          <w:sz w:val="22"/>
          <w:szCs w:val="22"/>
        </w:rPr>
        <w:t>” ou “NÃO” em campo próprio do sistema eletrônico, relativo às seguintes declarações:</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 xml:space="preserve">4.4.1 Que cumpre os requisitos estabelecidos no artigo 3° </w:t>
      </w:r>
      <w:r>
        <w:rPr>
          <w:rFonts w:cs="Arial" w:ascii="Verdana" w:hAnsi="Verdana"/>
          <w:color w:val="000000"/>
          <w:sz w:val="22"/>
          <w:szCs w:val="22"/>
        </w:rPr>
        <w:t>da Lei Complementar nº 123, de 2006, estando apta a usufruir do tratamento favorecido estabelecido em seus arts. 42 a 49;</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4.4.2 Que está ciente e concorda com as condições contidas no Edital e seus anexos;</w:t>
      </w:r>
    </w:p>
    <w:p>
      <w:pPr>
        <w:pStyle w:val="ListParagraph"/>
        <w:numPr>
          <w:ilvl w:val="0"/>
          <w:numId w:val="0"/>
        </w:numPr>
        <w:tabs>
          <w:tab w:val="clear" w:pos="720"/>
          <w:tab w:val="left" w:pos="1440" w:leader="none"/>
        </w:tabs>
        <w:snapToGrid w:val="false"/>
        <w:spacing w:lineRule="auto" w:line="276" w:before="120" w:after="120"/>
        <w:ind w:left="0" w:hanging="0"/>
        <w:contextualSpacing/>
        <w:jc w:val="both"/>
        <w:rPr>
          <w:rFonts w:ascii="Verdana" w:hAnsi="Verdana"/>
          <w:sz w:val="22"/>
          <w:szCs w:val="22"/>
        </w:rPr>
      </w:pPr>
      <w:r>
        <w:rPr>
          <w:rFonts w:cs="Arial" w:ascii="Verdana" w:hAnsi="Verdana"/>
          <w:color w:val="000000" w:themeColor="text1"/>
          <w:sz w:val="22"/>
          <w:szCs w:val="22"/>
        </w:rPr>
        <w:t xml:space="preserve">4.4.3 Que cumpre os requisitos para a habilitação definidos no Edital e que a </w:t>
      </w:r>
      <w:r>
        <w:rPr>
          <w:rFonts w:cs="Arial" w:ascii="Verdana" w:hAnsi="Verdana"/>
          <w:color w:val="000000"/>
          <w:sz w:val="22"/>
          <w:szCs w:val="22"/>
        </w:rPr>
        <w:t>proposta apresentada está em conformidade com as exigências editalícias;</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 xml:space="preserve">4.4.4 Que não emprega menor de 18 anos em trabalho noturno, perigoso ou insalubre e não emprega menor de 16 anos, salvo menor, a partir de 14 anos, na condição de aprendiz, nos termos do artigo 7°, XXXIII, da Constituição; </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4.4.5 Que a proposta foi elaborada de forma independente, nos termos da Instrução Normativa SLTI/MP nº 2, de 16 de setembro de 2009.</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4.4.6 Que não possui, em sua cadeia produtiva, empregados executando trabalho degradante ou forçado, observando o disposto nos incisos III e IV do art. 1º e no inciso III do art. 5º da Constituição Federal;</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bCs/>
          <w:color w:val="000000"/>
          <w:sz w:val="22"/>
          <w:szCs w:val="22"/>
        </w:rPr>
        <w:t xml:space="preserve">4.4.7 Que os serviços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w:t>
      </w:r>
      <w:r>
        <w:rPr>
          <w:rFonts w:cs="Arial" w:ascii="Verdana" w:hAnsi="Verdana"/>
          <w:bCs/>
          <w:sz w:val="22"/>
          <w:szCs w:val="22"/>
        </w:rPr>
        <w:t>1991.</w:t>
      </w:r>
    </w:p>
    <w:p>
      <w:pPr>
        <w:pStyle w:val="Normal"/>
        <w:numPr>
          <w:ilvl w:val="0"/>
          <w:numId w:val="0"/>
        </w:numPr>
        <w:snapToGrid w:val="false"/>
        <w:spacing w:lineRule="auto" w:line="276" w:before="120" w:after="120"/>
        <w:ind w:left="0" w:hanging="0"/>
        <w:jc w:val="both"/>
        <w:rPr>
          <w:rFonts w:ascii="Verdana" w:hAnsi="Verdana"/>
          <w:sz w:val="22"/>
          <w:szCs w:val="22"/>
        </w:rPr>
      </w:pPr>
      <w:r>
        <w:rPr>
          <w:rFonts w:cs="Arial" w:ascii="Verdana" w:hAnsi="Verdana"/>
          <w:color w:val="000000"/>
          <w:sz w:val="22"/>
          <w:szCs w:val="22"/>
        </w:rPr>
        <w:t>4.5 A declaração falsa relativa ao cumprimento de qualquer condição sujeitará o licitante às sanções previstas em lei e neste Edital.</w:t>
      </w:r>
    </w:p>
    <w:p>
      <w:pPr>
        <w:pStyle w:val="Nivel01"/>
        <w:numPr>
          <w:ilvl w:val="0"/>
          <w:numId w:val="2"/>
        </w:numPr>
        <w:rPr>
          <w:rFonts w:ascii="Verdana" w:hAnsi="Verdana"/>
          <w:sz w:val="22"/>
          <w:szCs w:val="22"/>
        </w:rPr>
      </w:pPr>
      <w:r>
        <w:rPr>
          <w:rFonts w:cs="Arial" w:ascii="Verdana" w:hAnsi="Verdana"/>
          <w:sz w:val="22"/>
          <w:szCs w:val="22"/>
        </w:rPr>
        <w:t>DA APRESENTAÇÃO DA PROPOSTA E DOS DOCUMENTOS DE HABILITAÇÃO</w:t>
      </w:r>
    </w:p>
    <w:p>
      <w:pPr>
        <w:pStyle w:val="Normal"/>
        <w:widowControl/>
        <w:numPr>
          <w:ilvl w:val="1"/>
          <w:numId w:val="21"/>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widowControl/>
        <w:numPr>
          <w:ilvl w:val="1"/>
          <w:numId w:val="22"/>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O envio da proposta, acompanhada dos documentos de habilitação exigidos neste Edital, ocorrerá por meio de chave de acesso e senha.</w:t>
      </w:r>
    </w:p>
    <w:p>
      <w:pPr>
        <w:pStyle w:val="Normal"/>
        <w:widowControl/>
        <w:numPr>
          <w:ilvl w:val="1"/>
          <w:numId w:val="23"/>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color w:val="000000" w:themeColor="text1"/>
          <w:sz w:val="22"/>
          <w:szCs w:val="22"/>
        </w:rPr>
        <w:t>Os licitantes poderão deixar de apresentar os documentos de habilitação que constem do SICAF, assegurado aos demais licitantes o direito de acesso aos dados constantes dos sistemas.</w:t>
      </w:r>
    </w:p>
    <w:p>
      <w:pPr>
        <w:pStyle w:val="Normal"/>
        <w:widowControl/>
        <w:numPr>
          <w:ilvl w:val="1"/>
          <w:numId w:val="24"/>
        </w:numPr>
        <w:tabs>
          <w:tab w:val="clear" w:pos="720"/>
          <w:tab w:val="left" w:pos="450" w:leader="none"/>
        </w:tabs>
        <w:bidi w:val="0"/>
        <w:spacing w:lineRule="auto" w:line="276" w:before="120" w:after="120"/>
        <w:ind w:left="0" w:right="0" w:hanging="0"/>
        <w:jc w:val="both"/>
        <w:rPr>
          <w:rFonts w:ascii="Verdana" w:hAnsi="Verdana"/>
          <w:sz w:val="22"/>
          <w:szCs w:val="22"/>
        </w:rPr>
      </w:pPr>
      <w:r>
        <w:rPr>
          <w:rFonts w:eastAsia="Arial" w:cs="Arial" w:ascii="Verdana" w:hAnsi="Verdana"/>
          <w:sz w:val="22"/>
          <w:szCs w:val="22"/>
        </w:rPr>
        <w:t>As Microempresas e Empresas de Pequeno Porte deverão encaminhar a documentação de habilitação, ainda que haja alguma restrição de regularidade fiscal e trabalhista, nos termos do art. 43, § 1º da LC nº 123, de 2006.</w:t>
      </w:r>
    </w:p>
    <w:p>
      <w:pPr>
        <w:pStyle w:val="Normal"/>
        <w:widowControl/>
        <w:numPr>
          <w:ilvl w:val="1"/>
          <w:numId w:val="25"/>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widowControl/>
        <w:numPr>
          <w:ilvl w:val="1"/>
          <w:numId w:val="26"/>
        </w:numPr>
        <w:tabs>
          <w:tab w:val="clear" w:pos="720"/>
          <w:tab w:val="left" w:pos="450" w:leader="none"/>
        </w:tabs>
        <w:bidi w:val="0"/>
        <w:spacing w:lineRule="auto" w:line="276" w:before="120" w:after="120"/>
        <w:ind w:left="0" w:right="0" w:hanging="0"/>
        <w:jc w:val="both"/>
        <w:rPr>
          <w:b/>
          <w:b/>
          <w:bCs/>
          <w:i/>
          <w:i/>
          <w:iCs/>
          <w:u w:val="single"/>
        </w:rPr>
      </w:pPr>
      <w:r>
        <w:rPr>
          <w:rFonts w:cs="Arial" w:ascii="Verdana" w:hAnsi="Verdana"/>
          <w:b/>
          <w:bCs/>
          <w:i/>
          <w:iCs/>
          <w:color w:val="000000"/>
          <w:sz w:val="22"/>
          <w:szCs w:val="22"/>
          <w:u w:val="single"/>
        </w:rPr>
        <w:t>Até a abertura da sessão pública, os licitantes poderão retirar ou substituir a proposta e os documentos de habilitação anteriormente inseridos no sistema;</w:t>
      </w:r>
    </w:p>
    <w:p>
      <w:pPr>
        <w:pStyle w:val="Normal"/>
        <w:widowControl/>
        <w:numPr>
          <w:ilvl w:val="1"/>
          <w:numId w:val="27"/>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Não será estabelecida, nessa etapa do certame, ordem de classificação entre as propostas apresentadas, o que somente ocorrerá após a realização dos procedimentos de negociação e julgamento da proposta.</w:t>
      </w:r>
    </w:p>
    <w:p>
      <w:pPr>
        <w:pStyle w:val="Normal"/>
        <w:widowControl/>
        <w:numPr>
          <w:ilvl w:val="1"/>
          <w:numId w:val="28"/>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Os documentos que compõem a proposta e a habilitação do licitante melhor classificado somente serão disponibilizados para avaliação do pregoeiro e para acesso público após o encerramento do envio de lances.</w:t>
      </w:r>
    </w:p>
    <w:p>
      <w:pPr>
        <w:pStyle w:val="Nivel01"/>
        <w:numPr>
          <w:ilvl w:val="0"/>
          <w:numId w:val="2"/>
        </w:numPr>
        <w:rPr>
          <w:rFonts w:ascii="Verdana" w:hAnsi="Verdana"/>
          <w:sz w:val="22"/>
          <w:szCs w:val="22"/>
        </w:rPr>
      </w:pPr>
      <w:r>
        <w:rPr>
          <w:rFonts w:cs="Arial" w:ascii="Verdana" w:hAnsi="Verdana"/>
          <w:sz w:val="22"/>
          <w:szCs w:val="22"/>
        </w:rPr>
        <w:t>DO PREENCHIMENTO DA PROPOSTA</w:t>
      </w:r>
    </w:p>
    <w:p>
      <w:pPr>
        <w:pStyle w:val="Normal"/>
        <w:widowControl/>
        <w:numPr>
          <w:ilvl w:val="1"/>
          <w:numId w:val="2"/>
        </w:numPr>
        <w:tabs>
          <w:tab w:val="clear" w:pos="720"/>
          <w:tab w:val="left" w:pos="450" w:leader="none"/>
        </w:tabs>
        <w:bidi w:val="0"/>
        <w:spacing w:lineRule="auto" w:line="276" w:before="120" w:after="120"/>
        <w:ind w:left="0" w:right="0" w:hanging="0"/>
        <w:jc w:val="both"/>
        <w:rPr>
          <w:rFonts w:ascii="Verdana" w:hAnsi="Verdana"/>
          <w:sz w:val="22"/>
          <w:szCs w:val="22"/>
        </w:rPr>
      </w:pPr>
      <w:r>
        <w:rPr>
          <w:rFonts w:cs="Arial" w:ascii="Verdana" w:hAnsi="Verdana"/>
          <w:sz w:val="22"/>
          <w:szCs w:val="22"/>
        </w:rPr>
        <w:t>O licitante deverá enviar sua proposta mediante o preenchimento, no sistema eletrônico, dos seguintes campos:</w:t>
      </w:r>
    </w:p>
    <w:p>
      <w:pPr>
        <w:pStyle w:val="Normal"/>
        <w:widowControl/>
        <w:numPr>
          <w:ilvl w:val="2"/>
          <w:numId w:val="2"/>
        </w:numPr>
        <w:tabs>
          <w:tab w:val="clear" w:pos="720"/>
          <w:tab w:val="left" w:pos="617" w:leader="none"/>
          <w:tab w:val="left" w:pos="10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iCs/>
          <w:color w:val="000000" w:themeColor="text1"/>
          <w:sz w:val="22"/>
          <w:szCs w:val="22"/>
        </w:rPr>
        <w:t>Valor unitário e total do item;</w:t>
      </w:r>
    </w:p>
    <w:p>
      <w:pPr>
        <w:pStyle w:val="Normal"/>
        <w:widowControl/>
        <w:numPr>
          <w:ilvl w:val="0"/>
          <w:numId w:val="0"/>
        </w:numPr>
        <w:tabs>
          <w:tab w:val="clear" w:pos="720"/>
          <w:tab w:val="left" w:pos="617"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iCs/>
          <w:color w:val="000000" w:themeColor="text1"/>
          <w:sz w:val="22"/>
          <w:szCs w:val="22"/>
        </w:rPr>
        <w:t xml:space="preserve">6.1.1.1. Serão admitidos no preço proposto a utilização de até </w:t>
      </w:r>
      <w:r>
        <w:rPr>
          <w:rFonts w:cs="Arial" w:ascii="Verdana" w:hAnsi="Verdana"/>
          <w:b/>
          <w:iCs/>
          <w:color w:val="000000" w:themeColor="text1"/>
          <w:sz w:val="22"/>
          <w:szCs w:val="22"/>
        </w:rPr>
        <w:t>02 (duas) casa decimais após a vírgula</w:t>
      </w:r>
      <w:r>
        <w:rPr>
          <w:rFonts w:cs="Arial" w:ascii="Verdana" w:hAnsi="Verdana"/>
          <w:b w:val="false"/>
          <w:iCs/>
          <w:color w:val="000000" w:themeColor="text1"/>
          <w:sz w:val="22"/>
          <w:szCs w:val="22"/>
        </w:rPr>
        <w:t>, expressos em moeda nacional.</w:t>
      </w:r>
    </w:p>
    <w:p>
      <w:pPr>
        <w:pStyle w:val="Normal"/>
        <w:widowControl/>
        <w:numPr>
          <w:ilvl w:val="0"/>
          <w:numId w:val="0"/>
        </w:numPr>
        <w:tabs>
          <w:tab w:val="clear" w:pos="720"/>
          <w:tab w:val="left" w:pos="617" w:leader="none"/>
          <w:tab w:val="left" w:pos="1440" w:leader="none"/>
        </w:tabs>
        <w:bidi w:val="0"/>
        <w:snapToGrid w:val="false"/>
        <w:spacing w:lineRule="auto" w:line="276" w:before="120" w:after="120"/>
        <w:ind w:left="0" w:right="0" w:hanging="0"/>
        <w:jc w:val="both"/>
        <w:rPr/>
      </w:pPr>
      <w:r>
        <w:rPr>
          <w:rFonts w:ascii="Verdana" w:hAnsi="Verdana"/>
          <w:sz w:val="22"/>
          <w:szCs w:val="22"/>
        </w:rPr>
        <w:t xml:space="preserve">6.1.1.2. Não é permitida a </w:t>
      </w:r>
      <w:r>
        <w:rPr>
          <w:rFonts w:eastAsia="" w:cs="Tahoma" w:ascii="Verdana" w:hAnsi="Verdana" w:eastAsiaTheme="minorEastAsia"/>
          <w:color w:val="auto"/>
          <w:kern w:val="0"/>
          <w:sz w:val="22"/>
          <w:szCs w:val="22"/>
          <w:lang w:val="pt-BR" w:eastAsia="pt-BR" w:bidi="ar-SA"/>
        </w:rPr>
        <w:t>aquisição</w:t>
      </w:r>
      <w:r>
        <w:rPr>
          <w:rFonts w:ascii="Verdana" w:hAnsi="Verdana"/>
          <w:sz w:val="22"/>
          <w:szCs w:val="22"/>
        </w:rPr>
        <w:t xml:space="preserve"> de </w:t>
      </w:r>
      <w:r>
        <w:rPr>
          <w:rFonts w:eastAsia="" w:cs="Tahoma" w:ascii="Verdana" w:hAnsi="Verdana" w:eastAsiaTheme="minorEastAsia"/>
          <w:color w:val="auto"/>
          <w:kern w:val="0"/>
          <w:sz w:val="22"/>
          <w:szCs w:val="22"/>
          <w:lang w:val="pt-BR" w:eastAsia="pt-BR" w:bidi="ar-SA"/>
        </w:rPr>
        <w:t>materiais médicos hospitalares</w:t>
      </w:r>
      <w:r>
        <w:rPr>
          <w:rFonts w:ascii="Verdana" w:hAnsi="Verdana"/>
          <w:sz w:val="22"/>
          <w:szCs w:val="22"/>
        </w:rPr>
        <w:t xml:space="preserve"> com valores acima d</w:t>
      </w:r>
      <w:r>
        <w:rPr>
          <w:rFonts w:eastAsia="" w:cs="Tahoma" w:ascii="Verdana" w:hAnsi="Verdana" w:eastAsiaTheme="minorEastAsia"/>
          <w:color w:val="auto"/>
          <w:kern w:val="0"/>
          <w:sz w:val="22"/>
          <w:szCs w:val="22"/>
          <w:lang w:val="pt-BR" w:eastAsia="pt-BR" w:bidi="ar-SA"/>
        </w:rPr>
        <w:t>o estipulado no ANEXO II</w:t>
      </w:r>
      <w:r>
        <w:rPr>
          <w:rFonts w:ascii="Verdana" w:hAnsi="Verdana"/>
          <w:sz w:val="22"/>
          <w:szCs w:val="22"/>
        </w:rPr>
        <w:t>.</w:t>
      </w:r>
    </w:p>
    <w:p>
      <w:pPr>
        <w:pStyle w:val="Normal"/>
        <w:widowControl/>
        <w:numPr>
          <w:ilvl w:val="2"/>
          <w:numId w:val="2"/>
        </w:numPr>
        <w:tabs>
          <w:tab w:val="clear" w:pos="720"/>
          <w:tab w:val="left" w:pos="617" w:leader="none"/>
          <w:tab w:val="left" w:pos="10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bCs/>
          <w:iCs/>
          <w:color w:val="000000"/>
          <w:sz w:val="22"/>
          <w:szCs w:val="22"/>
        </w:rPr>
        <w:t>Marca;</w:t>
      </w:r>
    </w:p>
    <w:p>
      <w:pPr>
        <w:pStyle w:val="Normal"/>
        <w:widowControl/>
        <w:numPr>
          <w:ilvl w:val="2"/>
          <w:numId w:val="2"/>
        </w:numPr>
        <w:tabs>
          <w:tab w:val="clear" w:pos="720"/>
          <w:tab w:val="left" w:pos="617" w:leader="none"/>
          <w:tab w:val="left" w:pos="10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bCs/>
          <w:iCs/>
          <w:color w:val="000000"/>
          <w:sz w:val="22"/>
          <w:szCs w:val="22"/>
        </w:rPr>
        <w:t>Fabricante;</w:t>
      </w:r>
    </w:p>
    <w:p>
      <w:pPr>
        <w:pStyle w:val="Normal"/>
        <w:widowControl/>
        <w:numPr>
          <w:ilvl w:val="2"/>
          <w:numId w:val="2"/>
        </w:numPr>
        <w:tabs>
          <w:tab w:val="clear" w:pos="720"/>
          <w:tab w:val="left" w:pos="617" w:leader="none"/>
          <w:tab w:val="left" w:pos="1083" w:leader="none"/>
        </w:tabs>
        <w:bidi w:val="0"/>
        <w:snapToGrid w:val="false"/>
        <w:spacing w:lineRule="auto" w:line="240" w:before="0" w:after="0"/>
        <w:ind w:left="0" w:right="0" w:hanging="0"/>
        <w:jc w:val="both"/>
        <w:rPr>
          <w:rFonts w:ascii="Verdana" w:hAnsi="Verdana"/>
          <w:i w:val="false"/>
          <w:i w:val="false"/>
          <w:iCs w:val="false"/>
          <w:sz w:val="22"/>
          <w:szCs w:val="22"/>
        </w:rPr>
      </w:pPr>
      <w:r>
        <w:rPr>
          <w:rFonts w:cs="Arial" w:ascii="Verdana" w:hAnsi="Verdana"/>
          <w:i w:val="false"/>
          <w:iCs w:val="false"/>
          <w:color w:val="000000" w:themeColor="text1"/>
          <w:sz w:val="22"/>
          <w:szCs w:val="22"/>
        </w:rPr>
        <w:t xml:space="preserve">Descrição detalhada do objeto, contendo as informações similares à especificação do </w:t>
      </w:r>
      <w:r>
        <w:rPr>
          <w:rFonts w:eastAsia="" w:cs="Tahoma" w:ascii="Verdana" w:hAnsi="Verdana" w:eastAsiaTheme="minorEastAsia"/>
          <w:i w:val="false"/>
          <w:iCs w:val="false"/>
          <w:color w:val="auto"/>
          <w:kern w:val="0"/>
          <w:sz w:val="22"/>
          <w:szCs w:val="22"/>
          <w:lang w:val="pt-BR" w:eastAsia="pt-BR" w:bidi="ar-SA"/>
        </w:rPr>
        <w:t>Anexo I – Modelo Orientativo de Proposta</w:t>
      </w:r>
      <w:r>
        <w:rPr>
          <w:rFonts w:ascii="Verdana" w:hAnsi="Verdana"/>
          <w:i w:val="false"/>
          <w:iCs w:val="false"/>
          <w:sz w:val="22"/>
          <w:szCs w:val="22"/>
        </w:rPr>
        <w:t xml:space="preserve">, indicando, ainda, </w:t>
      </w:r>
      <w:r>
        <w:rPr>
          <w:rFonts w:ascii="Verdana" w:hAnsi="Verdana"/>
          <w:b/>
          <w:bCs/>
          <w:i w:val="false"/>
          <w:iCs w:val="false"/>
          <w:sz w:val="22"/>
          <w:szCs w:val="22"/>
        </w:rPr>
        <w:t>o prazo de validade dos produtos de no mínimo 12 (doze) meses, a contar da data de entrega.</w:t>
      </w:r>
    </w:p>
    <w:p>
      <w:pPr>
        <w:pStyle w:val="ListParagraph"/>
        <w:widowControl/>
        <w:numPr>
          <w:ilvl w:val="1"/>
          <w:numId w:val="2"/>
        </w:numPr>
        <w:tabs>
          <w:tab w:val="clear" w:pos="720"/>
          <w:tab w:val="left" w:pos="450" w:leader="none"/>
        </w:tabs>
        <w:bidi w:val="0"/>
        <w:spacing w:lineRule="auto" w:line="240" w:before="0" w:after="0"/>
        <w:ind w:left="0" w:right="0" w:hanging="0"/>
        <w:contextualSpacing/>
        <w:jc w:val="both"/>
        <w:rPr>
          <w:rFonts w:ascii="Verdana" w:hAnsi="Verdana"/>
          <w:sz w:val="22"/>
          <w:szCs w:val="22"/>
        </w:rPr>
      </w:pPr>
      <w:r>
        <w:rPr>
          <w:rFonts w:cs="Arial" w:ascii="Verdana" w:hAnsi="Verdana"/>
          <w:sz w:val="22"/>
          <w:szCs w:val="22"/>
        </w:rPr>
        <w:t>Todas as especificações do objeto contidas na proposta vinculam a Contratada.</w:t>
      </w:r>
    </w:p>
    <w:p>
      <w:pPr>
        <w:pStyle w:val="ListParagraph"/>
        <w:widowControl/>
        <w:numPr>
          <w:ilvl w:val="0"/>
          <w:numId w:val="0"/>
        </w:numPr>
        <w:tabs>
          <w:tab w:val="clear" w:pos="720"/>
          <w:tab w:val="left" w:pos="450" w:leader="none"/>
        </w:tabs>
        <w:bidi w:val="0"/>
        <w:spacing w:lineRule="auto" w:line="240" w:before="0" w:after="0"/>
        <w:ind w:left="999" w:right="0" w:hanging="0"/>
        <w:contextualSpacing/>
        <w:jc w:val="both"/>
        <w:rPr>
          <w:rFonts w:ascii="Verdana" w:hAnsi="Verdana"/>
          <w:sz w:val="22"/>
          <w:szCs w:val="22"/>
        </w:rPr>
      </w:pPr>
      <w:r>
        <w:rPr>
          <w:rFonts w:ascii="Verdana" w:hAnsi="Verdana"/>
          <w:sz w:val="22"/>
          <w:szCs w:val="22"/>
        </w:rPr>
      </w:r>
    </w:p>
    <w:p>
      <w:pPr>
        <w:pStyle w:val="Normal"/>
        <w:widowControl/>
        <w:numPr>
          <w:ilvl w:val="1"/>
          <w:numId w:val="2"/>
        </w:numPr>
        <w:tabs>
          <w:tab w:val="clear" w:pos="720"/>
          <w:tab w:val="left" w:pos="450" w:leader="none"/>
        </w:tabs>
        <w:bidi w:val="0"/>
        <w:spacing w:lineRule="auto" w:line="240" w:before="0" w:after="0"/>
        <w:ind w:left="0" w:right="0" w:hanging="0"/>
        <w:contextualSpacing/>
        <w:jc w:val="both"/>
        <w:rPr>
          <w:rFonts w:ascii="Verdana" w:hAnsi="Verdana"/>
          <w:sz w:val="22"/>
          <w:szCs w:val="22"/>
        </w:rPr>
      </w:pPr>
      <w:r>
        <w:rPr>
          <w:rFonts w:cs="Arial" w:ascii="Verdana" w:hAnsi="Verdana"/>
          <w:b/>
          <w:sz w:val="22"/>
          <w:szCs w:val="22"/>
        </w:rPr>
        <w:t xml:space="preserve">Existindo divergência entre as descrições dos itens licitados no sistema do </w:t>
      </w:r>
      <w:r>
        <w:rPr>
          <w:rFonts w:ascii="Verdana" w:hAnsi="Verdana"/>
          <w:b/>
          <w:sz w:val="22"/>
          <w:szCs w:val="22"/>
        </w:rPr>
        <w:t>Comprasnet SIASG e no Edital, prevalecerão as descrições contidas no instrumento convocatório (EDITAL – ANEXO I – MODELO ORIENTATIVO DE PROPOSTA).</w:t>
      </w:r>
    </w:p>
    <w:p>
      <w:pPr>
        <w:pStyle w:val="ListParagraph"/>
        <w:widowControl/>
        <w:numPr>
          <w:ilvl w:val="1"/>
          <w:numId w:val="2"/>
        </w:numPr>
        <w:tabs>
          <w:tab w:val="clear" w:pos="720"/>
          <w:tab w:val="left" w:pos="450"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Nos valores propostos estarão inclusos todos os custos operacionais, encargos previdenciários, trabalhistas, tributários, comerciais e quaisquer outros que incidam direta ou indiretamente no fornecimento dos bens.</w:t>
      </w:r>
    </w:p>
    <w:p>
      <w:pPr>
        <w:pStyle w:val="ListParagraph"/>
        <w:widowControl/>
        <w:numPr>
          <w:ilvl w:val="0"/>
          <w:numId w:val="0"/>
        </w:numPr>
        <w:tabs>
          <w:tab w:val="clear" w:pos="720"/>
          <w:tab w:val="left" w:pos="450"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450"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ListParagraph"/>
        <w:widowControl/>
        <w:numPr>
          <w:ilvl w:val="0"/>
          <w:numId w:val="0"/>
        </w:numPr>
        <w:tabs>
          <w:tab w:val="clear" w:pos="720"/>
          <w:tab w:val="left" w:pos="450"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450"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 xml:space="preserve">O prazo de validade da proposta não será </w:t>
      </w:r>
      <w:r>
        <w:rPr>
          <w:rFonts w:cs="Arial" w:ascii="Verdana" w:hAnsi="Verdana"/>
          <w:color w:val="000000" w:themeColor="text1"/>
          <w:sz w:val="22"/>
          <w:szCs w:val="22"/>
        </w:rPr>
        <w:t xml:space="preserve">inferior a 60 </w:t>
      </w:r>
      <w:r>
        <w:rPr>
          <w:rFonts w:cs="Arial" w:ascii="Verdana" w:hAnsi="Verdana"/>
          <w:bCs/>
          <w:iCs/>
          <w:color w:val="000000" w:themeColor="text1"/>
          <w:sz w:val="22"/>
          <w:szCs w:val="22"/>
        </w:rPr>
        <w:t>(sessenta) dias</w:t>
      </w:r>
      <w:r>
        <w:rPr>
          <w:rFonts w:cs="Arial" w:ascii="Verdana" w:hAnsi="Verdana"/>
          <w:b/>
          <w:color w:val="000000"/>
          <w:sz w:val="22"/>
          <w:szCs w:val="22"/>
        </w:rPr>
        <w:t>,</w:t>
      </w:r>
      <w:r>
        <w:rPr>
          <w:rFonts w:cs="Arial" w:ascii="Verdana" w:hAnsi="Verdana"/>
          <w:color w:val="000000"/>
          <w:sz w:val="22"/>
          <w:szCs w:val="22"/>
        </w:rPr>
        <w:t xml:space="preserve"> a contar da data de sua apresentação.</w:t>
      </w:r>
    </w:p>
    <w:p>
      <w:pPr>
        <w:pStyle w:val="ListParagraph"/>
        <w:widowControl/>
        <w:numPr>
          <w:ilvl w:val="0"/>
          <w:numId w:val="0"/>
        </w:numPr>
        <w:tabs>
          <w:tab w:val="clear" w:pos="720"/>
          <w:tab w:val="left" w:pos="450"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450"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Os licitantes devem respeitar os preços máximos estabelecidos nas normas de regência de contratações públicas federais, quando participarem de licitações públicas;</w:t>
      </w:r>
    </w:p>
    <w:p>
      <w:pPr>
        <w:pStyle w:val="ListParagraph"/>
        <w:widowControl/>
        <w:numPr>
          <w:ilvl w:val="0"/>
          <w:numId w:val="0"/>
        </w:numPr>
        <w:tabs>
          <w:tab w:val="clear" w:pos="720"/>
          <w:tab w:val="left" w:pos="450"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color w:val="000000"/>
          <w:sz w:val="22"/>
          <w:szCs w:val="22"/>
        </w:rPr>
        <w:t>6.6.1 O descumprimento das regras supramencionadas pela Administração por parte dos contratados pode ensejar a fiscalização do Tribunal de Contas do Estado do Espírito Santo – TCEES e, após o devido processo legal, gerar as seguintes consequências: assinatura de prazo para a adoção das medidas necessárias ao exato cumprimento da lei, nos termos do art. 71, inciso IX, da Constituição do Estado do Espírito Santo; ou condenação dos agentes públicos responsáveis e da empresa contratada ao pagamento dos prejuízos ao erário, caso verificada a ocorrência de superfaturamento por sobrepreço na execução do contrato.</w:t>
      </w:r>
    </w:p>
    <w:p>
      <w:pPr>
        <w:pStyle w:val="Nivel01"/>
        <w:numPr>
          <w:ilvl w:val="0"/>
          <w:numId w:val="2"/>
        </w:numPr>
        <w:ind w:left="0" w:hanging="0"/>
        <w:rPr>
          <w:rFonts w:ascii="Verdana" w:hAnsi="Verdana"/>
          <w:sz w:val="22"/>
          <w:szCs w:val="22"/>
        </w:rPr>
      </w:pPr>
      <w:r>
        <w:rPr>
          <w:rFonts w:cs="Arial" w:ascii="Verdana" w:hAnsi="Verdana"/>
          <w:color w:val="auto"/>
          <w:sz w:val="22"/>
          <w:szCs w:val="22"/>
        </w:rPr>
        <w:t xml:space="preserve">DA ABERTURA DA SESSÃO, CLASSIFICAÇÃO DAS PROPOSTAS E FORMULAÇÃO DE LANCES </w:t>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lang w:eastAsia="en-US"/>
        </w:rPr>
        <w:t xml:space="preserve">A </w:t>
      </w:r>
      <w:r>
        <w:rPr>
          <w:rFonts w:cs="Arial" w:ascii="Verdana" w:hAnsi="Verdana"/>
          <w:color w:val="000000"/>
          <w:sz w:val="22"/>
          <w:szCs w:val="22"/>
        </w:rPr>
        <w:t>abertura</w:t>
      </w:r>
      <w:r>
        <w:rPr>
          <w:rFonts w:cs="Arial" w:ascii="Verdana" w:hAnsi="Verdana"/>
          <w:color w:val="000000"/>
          <w:sz w:val="22"/>
          <w:szCs w:val="22"/>
          <w:lang w:eastAsia="en-US"/>
        </w:rPr>
        <w:t xml:space="preserve"> da presente licitação dar-se-á em sessão pública, por meio de sistema eletrônico, na data, horário e local indicados neste Edital.</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lang w:eastAsia="en-US"/>
        </w:rPr>
        <w:t>O</w:t>
      </w:r>
      <w:r>
        <w:rPr>
          <w:rFonts w:cs="Arial" w:ascii="Verdana" w:hAnsi="Verdana"/>
          <w:color w:val="000000"/>
          <w:sz w:val="22"/>
          <w:szCs w:val="22"/>
        </w:rPr>
        <w:t xml:space="preserve"> Pregoeiro verificará as propostas apresentadas, desclassificando desde logo aquelas que não estejam em conformidade com os requisitos estabelecidos neste Edital, contenham vícios insanáveis ou não apresentem as especificações técnicas exigidas no </w:t>
      </w:r>
      <w:r>
        <w:rPr>
          <w:rFonts w:eastAsia="" w:cs="Arial" w:ascii="Verdana" w:hAnsi="Verdana"/>
          <w:color w:val="000000"/>
          <w:kern w:val="0"/>
          <w:sz w:val="22"/>
          <w:szCs w:val="22"/>
          <w:lang w:val="pt-BR" w:eastAsia="pt-BR" w:bidi="ar-SA"/>
        </w:rPr>
        <w:t>Anexo II</w:t>
      </w:r>
      <w:r>
        <w:rPr>
          <w:rFonts w:cs="Arial" w:ascii="Verdana" w:hAnsi="Verdana"/>
          <w:color w:val="000000"/>
          <w:sz w:val="22"/>
          <w:szCs w:val="22"/>
        </w:rPr>
        <w:t>.</w:t>
      </w:r>
    </w:p>
    <w:p>
      <w:pPr>
        <w:pStyle w:val="Normal"/>
        <w:widowControl/>
        <w:numPr>
          <w:ilvl w:val="2"/>
          <w:numId w:val="2"/>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lang w:eastAsia="en-US"/>
        </w:rPr>
        <w:t>Também será desclassificada a proposta que identifique o licitante.</w:t>
      </w:r>
    </w:p>
    <w:p>
      <w:pPr>
        <w:pStyle w:val="Normal"/>
        <w:widowControl/>
        <w:numPr>
          <w:ilvl w:val="2"/>
          <w:numId w:val="2"/>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A desclassificação será sempre fundamentada e registrada no sistema, com acompanhamento em tempo real por todos os participantes.</w:t>
      </w:r>
    </w:p>
    <w:p>
      <w:pPr>
        <w:pStyle w:val="Normal"/>
        <w:widowControl/>
        <w:numPr>
          <w:ilvl w:val="2"/>
          <w:numId w:val="2"/>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A não desclassificação da proposta não impede o seu julgamento definitivo em sentido contrário, levado a efeito na fase de aceitação.</w:t>
      </w:r>
    </w:p>
    <w:p>
      <w:pPr>
        <w:pStyle w:val="Normal"/>
        <w:widowControl/>
        <w:numPr>
          <w:ilvl w:val="0"/>
          <w:numId w:val="0"/>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7.3 O sistema ordenará automaticamente as propostas classificadas, sendo que somente estas participarão da fase de lances.</w:t>
      </w:r>
    </w:p>
    <w:p>
      <w:pPr>
        <w:pStyle w:val="Normal"/>
        <w:widowControl/>
        <w:numPr>
          <w:ilvl w:val="0"/>
          <w:numId w:val="0"/>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7.4 O sistema disponibilizará campo próprio para troca de mensagens entre o Pregoeiro e os licitantes.</w:t>
      </w:r>
    </w:p>
    <w:p>
      <w:pPr>
        <w:pStyle w:val="Normal"/>
        <w:widowControl/>
        <w:numPr>
          <w:ilvl w:val="0"/>
          <w:numId w:val="0"/>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 xml:space="preserve">7.5 Iniciada a etapa competitiva, os licitantes deverão encaminhar lances </w:t>
      </w:r>
      <w:r>
        <w:rPr>
          <w:rFonts w:cs="Arial" w:ascii="Verdana" w:hAnsi="Verdana"/>
          <w:color w:val="000000"/>
          <w:sz w:val="22"/>
          <w:szCs w:val="22"/>
          <w:lang w:eastAsia="en-US"/>
        </w:rPr>
        <w:t>exclusivamente por meio do sistema eletrônico, sendo imediatamente</w:t>
      </w:r>
      <w:r>
        <w:rPr>
          <w:rFonts w:cs="Arial" w:ascii="Verdana" w:hAnsi="Verdana"/>
          <w:color w:val="000000"/>
          <w:sz w:val="22"/>
          <w:szCs w:val="22"/>
        </w:rPr>
        <w:t xml:space="preserve"> informados do seu recebimento e do valor consignado no registro. </w:t>
      </w:r>
    </w:p>
    <w:p>
      <w:pPr>
        <w:pStyle w:val="Normal"/>
        <w:numPr>
          <w:ilvl w:val="0"/>
          <w:numId w:val="0"/>
        </w:numPr>
        <w:tabs>
          <w:tab w:val="clear" w:pos="720"/>
          <w:tab w:val="left" w:pos="1440" w:leader="none"/>
        </w:tabs>
        <w:snapToGrid w:val="false"/>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 xml:space="preserve">7.5.1 O lance deverá ser ofertado pelo </w:t>
      </w:r>
      <w:r>
        <w:rPr>
          <w:rFonts w:cs="Arial" w:ascii="Verdana" w:hAnsi="Verdana"/>
          <w:b/>
          <w:bCs/>
          <w:color w:val="000000" w:themeColor="text1"/>
          <w:sz w:val="22"/>
          <w:szCs w:val="22"/>
        </w:rPr>
        <w:t>valor unitário do item</w:t>
      </w:r>
      <w:r>
        <w:rPr>
          <w:rFonts w:cs="Arial" w:ascii="Verdana" w:hAnsi="Verdana"/>
          <w:color w:val="000000" w:themeColor="text1"/>
          <w:sz w:val="22"/>
          <w:szCs w:val="22"/>
        </w:rPr>
        <w:t>.</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color w:val="000000"/>
          <w:sz w:val="22"/>
          <w:szCs w:val="22"/>
        </w:rPr>
        <w:t>7.6 Os licitantes poderão oferecer lances sucessivos, observando o horário fixado para abertura da sessão e as regras estabelecidas no Edital.</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ascii="Verdana" w:hAnsi="Verdana"/>
          <w:sz w:val="22"/>
          <w:szCs w:val="22"/>
        </w:rPr>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rPr>
        <w:t>7.7 O licitante somente poderá oferecer lance de valor inferior ou percentual de desconto superior ao último por ele ofertado e registrado pelo sistema.</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ascii="Verdana" w:hAnsi="Verdana"/>
          <w:sz w:val="22"/>
          <w:szCs w:val="22"/>
        </w:rPr>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color w:val="000000" w:themeColor="text1"/>
          <w:sz w:val="22"/>
          <w:szCs w:val="22"/>
        </w:rPr>
        <w:t xml:space="preserve">7.8 Será adotado para o envio de lances no pregão eletrônico o </w:t>
      </w:r>
      <w:r>
        <w:rPr>
          <w:rFonts w:cs="Arial" w:ascii="Verdana" w:hAnsi="Verdana"/>
          <w:b/>
          <w:bCs/>
          <w:color w:val="000000" w:themeColor="text1"/>
          <w:sz w:val="22"/>
          <w:szCs w:val="22"/>
        </w:rPr>
        <w:t>modo de disputa “aberto”</w:t>
      </w:r>
      <w:r>
        <w:rPr>
          <w:rFonts w:cs="Arial" w:ascii="Verdana" w:hAnsi="Verdana"/>
          <w:color w:val="000000" w:themeColor="text1"/>
          <w:sz w:val="22"/>
          <w:szCs w:val="22"/>
        </w:rPr>
        <w:t>, em que os licitantes apresentarão lances públicos e sucessivos, com prorrogações.</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ascii="Verdana" w:hAnsi="Verdana"/>
          <w:sz w:val="22"/>
          <w:szCs w:val="22"/>
        </w:rPr>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color w:val="000000" w:themeColor="text1"/>
          <w:sz w:val="22"/>
          <w:szCs w:val="22"/>
        </w:rPr>
        <w:t>7.9 A etapa de lances da sess</w:t>
      </w:r>
      <w:r>
        <w:rPr>
          <w:rFonts w:ascii="Verdana" w:hAnsi="Verdana"/>
          <w:sz w:val="22"/>
          <w:szCs w:val="22"/>
        </w:rPr>
        <w:t>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ascii="Verdana" w:hAnsi="Verdana"/>
          <w:sz w:val="22"/>
          <w:szCs w:val="22"/>
        </w:rPr>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color w:val="000000" w:themeColor="text1"/>
          <w:sz w:val="22"/>
          <w:szCs w:val="22"/>
        </w:rPr>
        <w:t>7.10. Encerrado o prazo previsto no item anterior, o sistema abrir</w:t>
      </w:r>
      <w:r>
        <w:rPr>
          <w:rFonts w:ascii="Verdana" w:hAnsi="Verdana"/>
          <w:sz w:val="22"/>
          <w:szCs w:val="22"/>
        </w:rPr>
        <w:t>á oportunidade para que o autor da oferta de valor mais baixo e os das ofertas com preços até dez por cento superiores àquela possam ofertar um lance final e fechado em até cinco minutos, o qual será sigiloso até o encerramento deste prazo.</w:t>
      </w:r>
    </w:p>
    <w:p>
      <w:pPr>
        <w:pStyle w:val="Normal"/>
        <w:numPr>
          <w:ilvl w:val="0"/>
          <w:numId w:val="0"/>
        </w:numPr>
        <w:spacing w:lineRule="auto" w:line="276" w:before="120" w:after="120"/>
        <w:ind w:left="0" w:hanging="0"/>
        <w:jc w:val="both"/>
        <w:rPr>
          <w:rFonts w:ascii="Verdana" w:hAnsi="Verdana"/>
          <w:sz w:val="22"/>
          <w:szCs w:val="22"/>
        </w:rPr>
      </w:pPr>
      <w:r>
        <w:rPr>
          <w:rFonts w:ascii="Verdana" w:hAnsi="Verdana"/>
          <w:sz w:val="22"/>
          <w:szCs w:val="22"/>
        </w:rPr>
        <w:t>7.10.1.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pPr>
        <w:pStyle w:val="Normal"/>
        <w:numPr>
          <w:ilvl w:val="0"/>
          <w:numId w:val="0"/>
        </w:numPr>
        <w:spacing w:lineRule="auto" w:line="276" w:before="120" w:after="120"/>
        <w:ind w:left="0" w:hanging="0"/>
        <w:jc w:val="both"/>
        <w:rPr>
          <w:rFonts w:ascii="Verdana" w:hAnsi="Verdana"/>
          <w:sz w:val="22"/>
          <w:szCs w:val="22"/>
        </w:rPr>
      </w:pPr>
      <w:r>
        <w:rPr>
          <w:rFonts w:ascii="Verdana" w:hAnsi="Verdana"/>
          <w:sz w:val="22"/>
          <w:szCs w:val="22"/>
        </w:rPr>
        <w:t>7.11. Após o término dos prazos estabelecidos nos itens anteriores, o sistema ordenará os lances segundo a ordem crescente de valores.</w:t>
      </w:r>
    </w:p>
    <w:p>
      <w:pPr>
        <w:pStyle w:val="Normal"/>
        <w:numPr>
          <w:ilvl w:val="0"/>
          <w:numId w:val="0"/>
        </w:numPr>
        <w:spacing w:lineRule="auto" w:line="276" w:before="120" w:after="120"/>
        <w:ind w:left="0" w:hanging="0"/>
        <w:jc w:val="both"/>
        <w:rPr>
          <w:rFonts w:ascii="Verdana" w:hAnsi="Verdana"/>
          <w:sz w:val="22"/>
          <w:szCs w:val="22"/>
        </w:rPr>
      </w:pPr>
      <w:r>
        <w:rPr>
          <w:rFonts w:ascii="Verdana" w:hAnsi="Verdana"/>
          <w:strike w:val="false"/>
          <w:dstrike w:val="false"/>
          <w:sz w:val="22"/>
          <w:szCs w:val="22"/>
          <w:u w:val="none"/>
        </w:rPr>
        <w:t>7.11.1. 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pPr>
        <w:pStyle w:val="Normal"/>
        <w:numPr>
          <w:ilvl w:val="0"/>
          <w:numId w:val="0"/>
        </w:numPr>
        <w:spacing w:lineRule="auto" w:line="276" w:before="120" w:after="120"/>
        <w:ind w:left="0" w:hanging="0"/>
        <w:jc w:val="both"/>
        <w:rPr>
          <w:rFonts w:ascii="Verdana" w:hAnsi="Verdana"/>
          <w:sz w:val="22"/>
          <w:szCs w:val="22"/>
        </w:rPr>
      </w:pPr>
      <w:r>
        <w:rPr>
          <w:rFonts w:ascii="Verdana" w:hAnsi="Verdana"/>
          <w:strike w:val="false"/>
          <w:dstrike w:val="false"/>
          <w:sz w:val="22"/>
          <w:szCs w:val="22"/>
          <w:u w:val="none"/>
        </w:rPr>
        <w:t>7.12. Poderá o(a) Pregoeiro(a), auxiliado pela Equipe de Apoio, justificadamente, admitir o reinício da etapa fechada, caso nenhum licitante classificado na etapa de lance fechado atender às exigências de habilitação.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strike w:val="false"/>
          <w:dstrike w:val="false"/>
          <w:color w:val="000000" w:themeColor="text1"/>
          <w:sz w:val="22"/>
          <w:szCs w:val="22"/>
          <w:u w:val="none"/>
        </w:rPr>
        <w:t xml:space="preserve">7.13 </w:t>
      </w:r>
      <w:r>
        <w:rPr>
          <w:rFonts w:cs="Arial" w:ascii="Verdana" w:hAnsi="Verdana"/>
          <w:color w:val="000000" w:themeColor="text1"/>
          <w:sz w:val="22"/>
          <w:szCs w:val="22"/>
        </w:rPr>
        <w:t>Não serão aceitos dois ou mais lances de mesmo valor, prevalecendo aquele que for recebido e registrado em primeiro lugar.</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 xml:space="preserve">7.14 Durante o transcurso da sessão pública, os licitantes serão informados, em tempo real, do valor do menor lance registrado, vedada a identificação do licitante.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 xml:space="preserve">7.15 No caso de desconexão com o Pregoeiro, no decorrer da etapa competitiva do Pregão, o sistema eletrônico poderá permanecer acessível aos licitantes para a recepção dos lances.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 xml:space="preserve">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7.17 O Critério de julgamento adotado será o menor preço, conforme definido neste Edital e seus anexos.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7.18 Caso o licitante não apresente lances, concorrerá com o valor de sua proposta.</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7.20 Nessas condições, as propostas de microempresas e empresas de pequeno porte que se encontrarem na faixa de até 5% (cinco por cento) acima da melhor proposta ou melhor lance serão consideradas empatadas com a primeira colocada.</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 xml:space="preserve">7.24 Só poderá haver empate entre propostas iguais (não seguidas de lances), ou entre lances finais da fase fechada do modo de disputa aberto e fechado.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7.25 Havendo eventual empate entre propostas ou lances, o critério de desempate será aquele previsto no art. 3º, § 2º, da Lei nº 8.666, de 1993, assegurando-se a preferência, sucessivamente, aos bens produzidos: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lang w:eastAsia="en-US"/>
        </w:rPr>
        <w:t xml:space="preserve">7.25.1 </w:t>
      </w:r>
      <w:r>
        <w:rPr>
          <w:rFonts w:cs="Arial" w:ascii="Verdana" w:hAnsi="Verdana"/>
          <w:color w:val="000000"/>
          <w:sz w:val="22"/>
          <w:szCs w:val="22"/>
          <w:lang w:eastAsia="en-US"/>
        </w:rPr>
        <w:t>No país;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lang w:eastAsia="en-US"/>
        </w:rPr>
        <w:t>7.25.2 Por empresas brasileiras;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lang w:eastAsia="en-US"/>
        </w:rPr>
        <w:t>7.25.3 Por empresas que invistam em pesquisa e no desenvolvimento de tecnologia no País;</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lang w:eastAsia="en-US"/>
        </w:rPr>
        <w:t>7.25.4 Por empresas que comprovem cumprimento de reserva de cargos prevista em lei para pessoa com deficiência ou para reabilitado da Previdência Social e que atendam às regras de acessibilidade previstas na legislação.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sz w:val="22"/>
          <w:szCs w:val="22"/>
          <w:lang w:eastAsia="en-US"/>
        </w:rPr>
        <w:t xml:space="preserve">7.26 </w:t>
      </w:r>
      <w:r>
        <w:rPr>
          <w:rFonts w:cs="Arial" w:ascii="Verdana" w:hAnsi="Verdana"/>
          <w:color w:val="000000" w:themeColor="text1"/>
          <w:sz w:val="22"/>
          <w:szCs w:val="22"/>
        </w:rPr>
        <w:t xml:space="preserve">Persistindo o empate, a proposta vencedora será sorteada pelo sistema eletrônico dentre as propostas ou os lances empatados. </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color w:val="000000" w:themeColor="text1"/>
          <w:sz w:val="22"/>
          <w:szCs w:val="22"/>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color w:val="000000"/>
          <w:sz w:val="22"/>
          <w:szCs w:val="22"/>
          <w:lang w:eastAsia="en-US"/>
        </w:rPr>
        <w:t>7.27.1 A negociação será realizada por meio do sistema, podendo ser acompanhada pelos demais licitantes.</w:t>
      </w:r>
    </w:p>
    <w:p>
      <w:pPr>
        <w:pStyle w:val="ListParagraph"/>
        <w:numPr>
          <w:ilvl w:val="0"/>
          <w:numId w:val="0"/>
        </w:numPr>
        <w:tabs>
          <w:tab w:val="clear" w:pos="720"/>
          <w:tab w:val="left" w:pos="-12" w:leader="none"/>
        </w:tabs>
        <w:spacing w:lineRule="auto" w:line="276" w:before="120" w:after="120"/>
        <w:ind w:left="0" w:hanging="0"/>
        <w:contextualSpacing/>
        <w:jc w:val="both"/>
        <w:rPr>
          <w:rFonts w:ascii="Verdana" w:hAnsi="Verdana"/>
          <w:sz w:val="22"/>
          <w:szCs w:val="22"/>
        </w:rPr>
      </w:pPr>
      <w:r>
        <w:rPr>
          <w:rFonts w:cs="Arial" w:ascii="Verdana" w:hAnsi="Verdana"/>
          <w:color w:val="000000"/>
          <w:sz w:val="22"/>
          <w:szCs w:val="22"/>
        </w:rPr>
        <w:t xml:space="preserve">7.27.2 O pregoeiro solicitará ao licitante </w:t>
      </w:r>
      <w:r>
        <w:rPr>
          <w:rFonts w:cs="Arial" w:ascii="Verdana" w:hAnsi="Verdana"/>
          <w:color w:val="000000" w:themeColor="text1"/>
          <w:sz w:val="22"/>
          <w:szCs w:val="22"/>
        </w:rPr>
        <w:t xml:space="preserve">melhor classificado </w:t>
      </w:r>
      <w:r>
        <w:rPr>
          <w:rFonts w:cs="Arial" w:ascii="Verdana" w:hAnsi="Verdana"/>
          <w:color w:val="000000"/>
          <w:sz w:val="22"/>
          <w:szCs w:val="22"/>
        </w:rPr>
        <w:t xml:space="preserve">que, </w:t>
      </w:r>
      <w:r>
        <w:rPr>
          <w:rFonts w:cs="Arial" w:ascii="Verdana" w:hAnsi="Verdana"/>
          <w:color w:val="000000" w:themeColor="text1"/>
          <w:sz w:val="22"/>
          <w:szCs w:val="22"/>
        </w:rPr>
        <w:t>no prazo de 02 (duas)</w:t>
      </w:r>
      <w:r>
        <w:rPr>
          <w:rFonts w:cs="Arial" w:ascii="Verdana" w:hAnsi="Verdana"/>
          <w:i/>
          <w:iCs/>
          <w:color w:val="000000" w:themeColor="text1"/>
          <w:sz w:val="22"/>
          <w:szCs w:val="22"/>
        </w:rPr>
        <w:t xml:space="preserve"> </w:t>
      </w:r>
      <w:r>
        <w:rPr>
          <w:rFonts w:cs="Arial" w:ascii="Verdana" w:hAnsi="Verdana"/>
          <w:color w:val="000000" w:themeColor="text1"/>
          <w:sz w:val="22"/>
          <w:szCs w:val="22"/>
        </w:rPr>
        <w:t xml:space="preserve">horas, envie </w:t>
      </w:r>
      <w:r>
        <w:rPr>
          <w:rFonts w:cs="Arial" w:ascii="Verdana" w:hAnsi="Verdana"/>
          <w:color w:val="000000"/>
          <w:sz w:val="22"/>
          <w:szCs w:val="22"/>
        </w:rPr>
        <w:t xml:space="preserve">a proposta adequada ao último lance ofertado após a negociação realizada, acompanhada, se for o caso, dos documentos complementares, quando necessários à confirmação daqueles exigidos neste Edital e já apresentados. </w:t>
      </w:r>
    </w:p>
    <w:p>
      <w:pPr>
        <w:pStyle w:val="ListParagraph"/>
        <w:numPr>
          <w:ilvl w:val="0"/>
          <w:numId w:val="0"/>
        </w:numPr>
        <w:tabs>
          <w:tab w:val="clear" w:pos="720"/>
          <w:tab w:val="left" w:pos="-12" w:leader="none"/>
        </w:tabs>
        <w:spacing w:lineRule="auto" w:line="276" w:before="120" w:after="120"/>
        <w:ind w:left="0" w:hanging="0"/>
        <w:contextualSpacing/>
        <w:jc w:val="both"/>
        <w:rPr>
          <w:rFonts w:ascii="Verdana" w:hAnsi="Verdana"/>
          <w:sz w:val="22"/>
          <w:szCs w:val="22"/>
        </w:rPr>
      </w:pPr>
      <w:r>
        <w:rPr>
          <w:rFonts w:cs="Arial" w:ascii="Verdana" w:hAnsi="Verdana"/>
          <w:color w:val="000000"/>
          <w:sz w:val="22"/>
          <w:szCs w:val="22"/>
        </w:rPr>
        <w:t xml:space="preserve">7.28 </w:t>
      </w:r>
      <w:r>
        <w:rPr>
          <w:rFonts w:cs="Arial" w:ascii="Verdana" w:hAnsi="Verdana"/>
          <w:color w:val="000000" w:themeColor="text1"/>
          <w:sz w:val="22"/>
          <w:szCs w:val="22"/>
        </w:rPr>
        <w:t>Após a negociação do preço, o Pregoeiro iniciará a fase de aceitação e julgamento da proposta.</w:t>
      </w:r>
    </w:p>
    <w:p>
      <w:pPr>
        <w:pStyle w:val="Nivel01"/>
        <w:numPr>
          <w:ilvl w:val="0"/>
          <w:numId w:val="2"/>
        </w:numPr>
        <w:tabs>
          <w:tab w:val="clear" w:pos="567"/>
          <w:tab w:val="left" w:pos="517" w:leader="none"/>
        </w:tabs>
        <w:ind w:left="0" w:hanging="0"/>
        <w:rPr>
          <w:rFonts w:ascii="Verdana" w:hAnsi="Verdana"/>
          <w:sz w:val="22"/>
          <w:szCs w:val="22"/>
        </w:rPr>
      </w:pPr>
      <w:r>
        <w:rPr>
          <w:rFonts w:cs="Arial" w:ascii="Verdana" w:hAnsi="Verdana"/>
          <w:sz w:val="22"/>
          <w:szCs w:val="22"/>
          <w:lang w:eastAsia="en-US"/>
        </w:rPr>
        <w:t>DA ACEITABILIDADE DA PROPOSTA VENCEDORA.</w:t>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 xml:space="preserve">Encerrada </w:t>
      </w:r>
      <w:r>
        <w:rPr>
          <w:rFonts w:cs="Arial" w:ascii="Verdana" w:hAnsi="Verdana"/>
          <w:color w:val="000000"/>
          <w:sz w:val="22"/>
          <w:szCs w:val="22"/>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pPr>
        <w:pStyle w:val="Normal"/>
        <w:widowControl/>
        <w:numPr>
          <w:ilvl w:val="1"/>
          <w:numId w:val="2"/>
        </w:numPr>
        <w:tabs>
          <w:tab w:val="clear" w:pos="720"/>
          <w:tab w:val="left" w:pos="517" w:leader="none"/>
        </w:tabs>
        <w:bidi w:val="0"/>
        <w:spacing w:lineRule="auto" w:line="276" w:before="120" w:after="120"/>
        <w:ind w:left="0" w:right="0" w:hanging="0"/>
        <w:jc w:val="both"/>
        <w:rPr>
          <w:rFonts w:ascii="Verdana" w:hAnsi="Verdana"/>
          <w:sz w:val="22"/>
          <w:szCs w:val="22"/>
        </w:rPr>
      </w:pPr>
      <w:r>
        <w:rPr>
          <w:rFonts w:cs="Arial" w:ascii="Verdana" w:hAnsi="Verdana"/>
          <w:sz w:val="22"/>
          <w:szCs w:val="22"/>
        </w:rPr>
        <w:t>Ser</w:t>
      </w:r>
      <w:r>
        <w:rPr>
          <w:rFonts w:ascii="Verdana" w:hAnsi="Verdana"/>
          <w:sz w:val="22"/>
          <w:szCs w:val="22"/>
        </w:rPr>
        <w:t>á desclassificada a proposta ou o lance vencedor, apresentar preço final superior ao preço máximo fixado (Acórdão nº 1455/2018 –TCU –Plenário), ou que apresentar preço manifestamente inexequível.</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themeColor="text1"/>
          <w:sz w:val="22"/>
          <w:szCs w:val="22"/>
          <w:lang w:eastAsia="en-US"/>
        </w:rPr>
        <w:t>Qualquer interessado poderá requerer que se realizem diligências para aferir a exequibilidade e a legalidade das propostas, devendo apresentar as provas ou os indícios que fundamentam a suspeita;</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cs="Arial"/>
          <w:color w:val="000000" w:themeColor="text1"/>
          <w:lang w:eastAsia="en-US"/>
        </w:rPr>
      </w:pPr>
      <w:r>
        <w:rPr>
          <w:rFonts w:cs="Arial"/>
          <w:color w:val="000000" w:themeColor="text1"/>
          <w:lang w:eastAsia="en-US"/>
        </w:rPr>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themeColor="text1"/>
          <w:sz w:val="22"/>
          <w:szCs w:val="22"/>
          <w:lang w:eastAsia="en-US"/>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cs="Arial"/>
          <w:color w:val="000000" w:themeColor="text1"/>
          <w:lang w:eastAsia="en-US"/>
        </w:rPr>
      </w:pPr>
      <w:r>
        <w:rPr>
          <w:rFonts w:cs="Arial"/>
          <w:color w:val="000000" w:themeColor="text1"/>
          <w:lang w:eastAsia="en-US"/>
        </w:rPr>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themeColor="text1"/>
          <w:sz w:val="22"/>
          <w:szCs w:val="22"/>
          <w:lang w:eastAsia="en-US"/>
        </w:rPr>
        <w:t>O Pregoeiro poderá convocar o licitante para enviar documento digital complementar, por meio de funcionalidade disponível no sistema, no prazo de 02 (duas) horas, sob pena de não aceitação da proposta.</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cs="Arial"/>
          <w:color w:val="000000" w:themeColor="text1"/>
          <w:lang w:eastAsia="en-US"/>
        </w:rPr>
      </w:pPr>
      <w:r>
        <w:rPr>
          <w:rFonts w:cs="Arial"/>
          <w:color w:val="000000" w:themeColor="text1"/>
          <w:lang w:eastAsia="en-US"/>
        </w:rPr>
      </w:r>
    </w:p>
    <w:p>
      <w:pPr>
        <w:pStyle w:val="ListParagraph"/>
        <w:widowControl/>
        <w:numPr>
          <w:ilvl w:val="0"/>
          <w:numId w:val="0"/>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lang w:eastAsia="en-US"/>
        </w:rPr>
        <w:t>8.5.1 É facultado ao pregoeiro prorrogar o prazo estabelecido, a partir de solicitação fundamentada feita no chat pelo licitante, antes de findo o prazo</w:t>
      </w:r>
      <w:r>
        <w:rPr>
          <w:rFonts w:cs="Arial" w:ascii="Verdana" w:hAnsi="Verdana"/>
          <w:color w:val="000000" w:themeColor="text1"/>
          <w:sz w:val="22"/>
          <w:szCs w:val="22"/>
          <w:lang w:eastAsia="en-US"/>
        </w:rPr>
        <w:t>.</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lang w:eastAsia="en-US"/>
        </w:rPr>
        <w:t>8.5.2 Dentre os documentos passíveis de solicitação pelo Pregoeiro, destacam-se os que contenham as características do material ofertado, tais como marca, modelo, tipo, fabricante e procedência, além de outras informações pertinentes, a exemplo de catálogos, folhetos ou propostas, encaminhados por meio eletrônico, ou, se for o caso, por outro meio e prazo indicados pelo Pregoeiro, sem prejuízo do seu ulterior envio pelo sistema eletrônico, sob pena de não aceitação da proposta.</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iCs/>
          <w:color w:val="000000"/>
          <w:sz w:val="22"/>
          <w:szCs w:val="22"/>
        </w:rPr>
        <w:t>Se a proposta ou lance vencedor for desclassificado, o Pregoeiro examinará a proposta ou lance subsequente, e, assim sucessivamente, na ordem de classificação.</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lang w:eastAsia="en-US"/>
        </w:rPr>
        <w:t>Havendo necessidade, o Pregoeiro suspenderá a sessão, informando no “</w:t>
      </w:r>
      <w:r>
        <w:rPr>
          <w:rFonts w:cs="Arial" w:ascii="Verdana" w:hAnsi="Verdana"/>
          <w:i/>
          <w:color w:val="000000"/>
          <w:sz w:val="22"/>
          <w:szCs w:val="22"/>
          <w:lang w:eastAsia="en-US"/>
        </w:rPr>
        <w:t>chat</w:t>
      </w:r>
      <w:r>
        <w:rPr>
          <w:rFonts w:cs="Arial" w:ascii="Verdana" w:hAnsi="Verdana"/>
          <w:color w:val="000000"/>
          <w:sz w:val="22"/>
          <w:szCs w:val="22"/>
          <w:lang w:eastAsia="en-US"/>
        </w:rPr>
        <w:t xml:space="preserve">” a </w:t>
      </w:r>
      <w:r>
        <w:rPr>
          <w:rFonts w:cs="Arial" w:ascii="Verdana" w:hAnsi="Verdana"/>
          <w:sz w:val="22"/>
          <w:szCs w:val="22"/>
          <w:lang w:eastAsia="en-US"/>
        </w:rPr>
        <w:t>nova data e horário para a sua continuidade.</w:t>
      </w:r>
    </w:p>
    <w:p>
      <w:pPr>
        <w:pStyle w:val="ListParagraph"/>
        <w:widowControl/>
        <w:numPr>
          <w:ilvl w:val="0"/>
          <w:numId w:val="0"/>
        </w:numPr>
        <w:tabs>
          <w:tab w:val="clear" w:pos="720"/>
          <w:tab w:val="left" w:pos="517" w:leader="none"/>
        </w:tabs>
        <w:bidi w:val="0"/>
        <w:spacing w:lineRule="auto" w:line="276" w:before="120" w:after="120"/>
        <w:ind w:left="999"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O Pregoeiro poderá encaminhar, por meio do sistema eletrônico, contraproposta ao licitante que apresentou o lance mais vantajoso, com o fim de negociar a obtenção de melhor preço, vedada a negociação em condições diversas das previstas neste Edital.</w:t>
      </w:r>
    </w:p>
    <w:p>
      <w:pPr>
        <w:pStyle w:val="Normal"/>
        <w:widowControl/>
        <w:numPr>
          <w:ilvl w:val="2"/>
          <w:numId w:val="2"/>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Também nas hipóteses em que o Pregoeiro não aceitar a proposta e passar à subsequente, poderá negociar com o licitante para que seja obtido preço melhor.</w:t>
      </w:r>
    </w:p>
    <w:p>
      <w:pPr>
        <w:pStyle w:val="Normal"/>
        <w:widowControl/>
        <w:numPr>
          <w:ilvl w:val="2"/>
          <w:numId w:val="2"/>
        </w:numPr>
        <w:tabs>
          <w:tab w:val="clear" w:pos="720"/>
          <w:tab w:val="left" w:pos="683"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A negociação será realizada por meio do sistema, podendo ser acompanhada pelos demais licitantes.</w:t>
      </w:r>
    </w:p>
    <w:p>
      <w:pPr>
        <w:pStyle w:val="ListParagraph"/>
        <w:widowControl/>
        <w:numPr>
          <w:ilvl w:val="1"/>
          <w:numId w:val="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widowControl/>
        <w:numPr>
          <w:ilvl w:val="1"/>
          <w:numId w:val="2"/>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 xml:space="preserve">Encerrada a análise quanto à aceitação da proposta, o pregoeiro verificará a habilitação do licitante, </w:t>
      </w:r>
      <w:r>
        <w:rPr>
          <w:rFonts w:cs="Arial" w:ascii="Verdana" w:hAnsi="Verdana"/>
          <w:color w:val="000000" w:themeColor="text1"/>
          <w:sz w:val="22"/>
          <w:szCs w:val="22"/>
          <w:lang w:eastAsia="en-US"/>
        </w:rPr>
        <w:t>observado</w:t>
      </w:r>
      <w:r>
        <w:rPr>
          <w:rFonts w:cs="Arial" w:ascii="Verdana" w:hAnsi="Verdana"/>
          <w:color w:val="000000"/>
          <w:sz w:val="22"/>
          <w:szCs w:val="22"/>
        </w:rPr>
        <w:t xml:space="preserve"> o disposto neste Edital.</w:t>
      </w:r>
    </w:p>
    <w:p>
      <w:pPr>
        <w:pStyle w:val="Nivel01"/>
        <w:numPr>
          <w:ilvl w:val="0"/>
          <w:numId w:val="2"/>
        </w:numPr>
        <w:ind w:left="0" w:hanging="0"/>
        <w:rPr>
          <w:rFonts w:ascii="Verdana" w:hAnsi="Verdana"/>
          <w:sz w:val="22"/>
          <w:szCs w:val="22"/>
        </w:rPr>
      </w:pPr>
      <w:r>
        <w:rPr>
          <w:rFonts w:cs="Arial" w:ascii="Verdana" w:hAnsi="Verdana"/>
          <w:sz w:val="22"/>
          <w:szCs w:val="22"/>
          <w:lang w:eastAsia="en-US"/>
        </w:rPr>
        <w:t>DA HABILITAÇÃO</w:t>
      </w:r>
    </w:p>
    <w:p>
      <w:pPr>
        <w:pStyle w:val="Nivel01"/>
        <w:keepNext w:val="true"/>
        <w:keepLines/>
        <w:widowControl/>
        <w:numPr>
          <w:ilvl w:val="1"/>
          <w:numId w:val="2"/>
        </w:numPr>
        <w:tabs>
          <w:tab w:val="clear" w:pos="567"/>
          <w:tab w:val="left" w:pos="517" w:leader="none"/>
          <w:tab w:val="left" w:pos="683" w:leader="none"/>
        </w:tabs>
        <w:bidi w:val="0"/>
        <w:spacing w:lineRule="auto" w:line="276" w:before="240" w:after="0"/>
        <w:ind w:left="0" w:right="0" w:hanging="0"/>
        <w:jc w:val="both"/>
        <w:rPr>
          <w:rFonts w:ascii="Verdana" w:hAnsi="Verdana"/>
          <w:sz w:val="22"/>
          <w:szCs w:val="22"/>
        </w:rPr>
      </w:pPr>
      <w:r>
        <w:rPr>
          <w:rFonts w:cs="Arial" w:ascii="Verdana" w:hAnsi="Verdana"/>
          <w:b w:val="false"/>
          <w:sz w:val="22"/>
          <w:szCs w:val="22"/>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lineRule="auto" w:line="276" w:before="120" w:after="120"/>
        <w:ind w:left="720" w:hanging="0"/>
        <w:contextualSpacing/>
        <w:jc w:val="both"/>
        <w:rPr>
          <w:rFonts w:ascii="Verdana" w:hAnsi="Verdana"/>
          <w:sz w:val="22"/>
          <w:szCs w:val="22"/>
        </w:rPr>
      </w:pPr>
      <w:r>
        <w:rPr>
          <w:rFonts w:cs="Arial" w:ascii="Verdana" w:hAnsi="Verdana"/>
          <w:sz w:val="22"/>
          <w:szCs w:val="22"/>
          <w:lang w:eastAsia="ar-SA"/>
        </w:rPr>
        <w:t>a) SICAF;</w:t>
      </w:r>
    </w:p>
    <w:p>
      <w:pPr>
        <w:pStyle w:val="ListParagraph"/>
        <w:spacing w:lineRule="auto" w:line="276" w:before="120" w:after="120"/>
        <w:ind w:left="720" w:hanging="0"/>
        <w:contextualSpacing/>
        <w:jc w:val="both"/>
        <w:rPr/>
      </w:pPr>
      <w:r>
        <w:rPr>
          <w:rFonts w:cs="Arial" w:ascii="Verdana" w:hAnsi="Verdana"/>
          <w:sz w:val="22"/>
          <w:szCs w:val="22"/>
          <w:lang w:eastAsia="ar-SA"/>
        </w:rPr>
        <w:t>b) Cadastro Nacional de Empresas Inidôneas e Suspensas – CEIS, mantido pela Controladoria-Geral da União (</w:t>
      </w:r>
      <w:hyperlink r:id="rId5">
        <w:r>
          <w:rPr>
            <w:rStyle w:val="LinkdaInternet"/>
            <w:rFonts w:cs="Arial" w:ascii="Verdana" w:hAnsi="Verdana"/>
            <w:sz w:val="22"/>
            <w:szCs w:val="22"/>
            <w:lang w:eastAsia="ar-SA"/>
          </w:rPr>
          <w:t>www.portaldatransparencia.gov.br/ceis</w:t>
        </w:r>
      </w:hyperlink>
      <w:r>
        <w:rPr>
          <w:rFonts w:cs="Arial" w:ascii="Verdana" w:hAnsi="Verdana"/>
          <w:sz w:val="22"/>
          <w:szCs w:val="22"/>
          <w:lang w:eastAsia="ar-SA"/>
        </w:rPr>
        <w:t>);</w:t>
      </w:r>
    </w:p>
    <w:p>
      <w:pPr>
        <w:pStyle w:val="ListParagraph"/>
        <w:spacing w:lineRule="auto" w:line="276" w:before="120" w:after="120"/>
        <w:ind w:left="720" w:hanging="0"/>
        <w:contextualSpacing/>
        <w:jc w:val="both"/>
        <w:rPr/>
      </w:pPr>
      <w:r>
        <w:rPr>
          <w:rFonts w:cs="Arial" w:ascii="Verdana" w:hAnsi="Verdana"/>
          <w:sz w:val="22"/>
          <w:szCs w:val="22"/>
          <w:lang w:eastAsia="ar-SA"/>
        </w:rPr>
        <w:t>c) Cadastro Nacional de Condenações Cíveis por Atos de Improbidade Administrativa, mantido pelo Conselho Nacional de Justiça (</w:t>
      </w:r>
      <w:hyperlink r:id="rId6">
        <w:r>
          <w:rPr>
            <w:rStyle w:val="LinkdaInternet"/>
            <w:rFonts w:cs="Arial" w:ascii="Verdana" w:hAnsi="Verdana"/>
            <w:sz w:val="22"/>
            <w:szCs w:val="22"/>
            <w:lang w:eastAsia="ar-SA"/>
          </w:rPr>
          <w:t>www.cnj.jus.br/improbidade_adm/consultar_requerido.php</w:t>
        </w:r>
      </w:hyperlink>
      <w:r>
        <w:rPr>
          <w:rFonts w:cs="Arial" w:ascii="Verdana" w:hAnsi="Verdana"/>
          <w:sz w:val="22"/>
          <w:szCs w:val="22"/>
          <w:lang w:eastAsia="ar-SA"/>
        </w:rPr>
        <w:t>).</w:t>
      </w:r>
    </w:p>
    <w:p>
      <w:pPr>
        <w:pStyle w:val="ListParagraph"/>
        <w:spacing w:lineRule="auto" w:line="276" w:before="120" w:after="120"/>
        <w:ind w:left="720" w:hanging="0"/>
        <w:contextualSpacing/>
        <w:jc w:val="both"/>
        <w:rPr>
          <w:sz w:val="22"/>
          <w:szCs w:val="22"/>
        </w:rPr>
      </w:pPr>
      <w:r>
        <w:rPr>
          <w:rFonts w:cs="Arial" w:ascii="Verdana" w:hAnsi="Verdana"/>
          <w:sz w:val="22"/>
          <w:szCs w:val="22"/>
          <w:lang w:eastAsia="ar-SA"/>
        </w:rPr>
        <w:t>d) Cadastro de Inidôneos e o Cadastro Integrado de Condenações por Ilícitos Administrativos – CADICON, mantidos pelo Tribunal de Contas da União – TCU;</w:t>
      </w:r>
    </w:p>
    <w:p>
      <w:pPr>
        <w:pStyle w:val="Normal"/>
        <w:spacing w:lineRule="auto" w:line="276" w:before="120" w:after="120"/>
        <w:ind w:hanging="0"/>
        <w:contextualSpacing/>
        <w:jc w:val="both"/>
        <w:rPr>
          <w:rFonts w:ascii="Verdana" w:hAnsi="Verdana"/>
          <w:sz w:val="22"/>
          <w:szCs w:val="22"/>
        </w:rPr>
      </w:pPr>
      <w:r>
        <w:rPr>
          <w:rFonts w:cs="Arial" w:ascii="Verdana" w:hAnsi="Verdana"/>
          <w:sz w:val="22"/>
          <w:szCs w:val="22"/>
          <w:lang w:eastAsia="ar-SA"/>
        </w:rPr>
        <w:t>e) Cadastro de empresas inid</w:t>
      </w:r>
      <w:r>
        <w:rPr>
          <w:rFonts w:ascii="Verdana" w:hAnsi="Verdana"/>
          <w:sz w:val="22"/>
          <w:szCs w:val="22"/>
        </w:rPr>
        <w:t>ôneas, mantido pelo Tribunal de Contas do Estado do Espírito Santo –TCE/ES(https://www.tcees.tc.br/portal-da-transparencia/consultas/lista-de-responsaveis/empresas-inidoneas/) e proibidas de contratar com o Poder Público estadual ou municipal(</w:t>
      </w:r>
      <w:hyperlink r:id="rId7">
        <w:r>
          <w:rPr>
            <w:rStyle w:val="LinkdaInternet"/>
            <w:rFonts w:ascii="Verdana" w:hAnsi="Verdana"/>
            <w:sz w:val="22"/>
            <w:szCs w:val="22"/>
          </w:rPr>
          <w:t>https://www.tcees.tc.br/portal-da-transparencia/consultas/lista-de</w:t>
        </w:r>
      </w:hyperlink>
      <w:r>
        <w:rPr>
          <w:rFonts w:ascii="Verdana" w:hAnsi="Verdana"/>
          <w:sz w:val="22"/>
          <w:szCs w:val="22"/>
        </w:rPr>
        <w:t xml:space="preserve"> responsaveis/proibidos-de-contratar/).</w:t>
      </w:r>
    </w:p>
    <w:p>
      <w:pPr>
        <w:pStyle w:val="Normal"/>
        <w:spacing w:lineRule="auto" w:line="276" w:before="120" w:after="120"/>
        <w:ind w:hanging="0"/>
        <w:contextualSpacing/>
        <w:jc w:val="both"/>
        <w:rPr>
          <w:rFonts w:ascii="Verdana" w:hAnsi="Verdana"/>
          <w:sz w:val="22"/>
          <w:szCs w:val="22"/>
        </w:rPr>
      </w:pPr>
      <w:r>
        <w:rPr>
          <w:rFonts w:ascii="Verdana" w:hAnsi="Verdana"/>
          <w:sz w:val="22"/>
          <w:szCs w:val="22"/>
        </w:rPr>
      </w:r>
    </w:p>
    <w:p>
      <w:pPr>
        <w:pStyle w:val="Normal"/>
        <w:spacing w:lineRule="auto" w:line="276" w:before="120" w:after="120"/>
        <w:ind w:hanging="0"/>
        <w:contextualSpacing/>
        <w:jc w:val="both"/>
        <w:rPr>
          <w:rFonts w:ascii="Verdana" w:hAnsi="Verdana"/>
          <w:sz w:val="22"/>
          <w:szCs w:val="22"/>
        </w:rPr>
      </w:pPr>
      <w:r>
        <w:rPr>
          <w:rFonts w:cs="Arial" w:ascii="Verdana" w:hAnsi="Verdana"/>
          <w:b w:val="false"/>
          <w:bCs w:val="false"/>
          <w:sz w:val="22"/>
          <w:szCs w:val="22"/>
          <w:lang w:eastAsia="ar-SA"/>
        </w:rPr>
        <w:t>9.1.1 Para a consulta de licitantes pessoa jurídica poderá haver a substituição das consultas</w:t>
      </w:r>
      <w:r>
        <w:rPr>
          <w:rFonts w:cs="Arial" w:ascii="Verdana" w:hAnsi="Verdana"/>
          <w:b w:val="false"/>
          <w:sz w:val="22"/>
          <w:szCs w:val="22"/>
          <w:lang w:eastAsia="ar-SA"/>
        </w:rPr>
        <w:t xml:space="preserve"> das alíneas “b”, “c” e “d” acima pela Consulta Consolidada de Pessoa Jurídica do TCU (</w:t>
      </w:r>
      <w:hyperlink r:id="rId8">
        <w:r>
          <w:rPr>
            <w:rStyle w:val="LinkdaInternet"/>
            <w:rFonts w:cs="Arial" w:ascii="Verdana" w:hAnsi="Verdana"/>
            <w:b w:val="false"/>
            <w:sz w:val="22"/>
            <w:szCs w:val="22"/>
            <w:lang w:eastAsia="ar-SA"/>
          </w:rPr>
          <w:t>https://certidoesapf.apps.tcu.gov.br/</w:t>
        </w:r>
      </w:hyperlink>
      <w:r>
        <w:rPr>
          <w:rFonts w:cs="Arial" w:ascii="Verdana" w:hAnsi="Verdana"/>
          <w:b w:val="false"/>
          <w:sz w:val="22"/>
          <w:szCs w:val="22"/>
          <w:lang w:eastAsia="ar-SA"/>
        </w:rPr>
        <w:t>);</w:t>
      </w:r>
    </w:p>
    <w:p>
      <w:pPr>
        <w:pStyle w:val="Normal"/>
        <w:spacing w:lineRule="auto" w:line="276" w:before="120" w:after="120"/>
        <w:ind w:hanging="0"/>
        <w:contextualSpacing/>
        <w:jc w:val="both"/>
        <w:rPr>
          <w:rFonts w:ascii="Verdana" w:hAnsi="Verdana"/>
          <w:sz w:val="22"/>
          <w:szCs w:val="22"/>
        </w:rPr>
      </w:pPr>
      <w:r>
        <w:rPr>
          <w:rFonts w:ascii="Verdana" w:hAnsi="Verdana"/>
          <w:sz w:val="22"/>
          <w:szCs w:val="22"/>
        </w:rPr>
      </w:r>
    </w:p>
    <w:p>
      <w:pPr>
        <w:pStyle w:val="Normal"/>
        <w:spacing w:lineRule="auto" w:line="276" w:before="120" w:after="120"/>
        <w:ind w:hanging="0"/>
        <w:contextualSpacing/>
        <w:jc w:val="both"/>
        <w:rPr>
          <w:rFonts w:ascii="Verdana" w:hAnsi="Verdana"/>
          <w:sz w:val="22"/>
          <w:szCs w:val="22"/>
        </w:rPr>
      </w:pPr>
      <w:r>
        <w:rPr>
          <w:rFonts w:cs="Arial" w:ascii="Verdana" w:hAnsi="Verdana"/>
          <w:b w:val="false"/>
          <w:bCs w:val="false"/>
          <w:color w:val="000000"/>
          <w:sz w:val="22"/>
          <w:szCs w:val="22"/>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widowControl/>
        <w:numPr>
          <w:ilvl w:val="0"/>
          <w:numId w:val="0"/>
        </w:numPr>
        <w:tabs>
          <w:tab w:val="clear" w:pos="720"/>
          <w:tab w:val="left" w:pos="733" w:leader="none"/>
          <w:tab w:val="left" w:pos="900"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9.1.2.1.Caso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widowControl/>
        <w:numPr>
          <w:ilvl w:val="0"/>
          <w:numId w:val="0"/>
        </w:numPr>
        <w:tabs>
          <w:tab w:val="clear" w:pos="720"/>
          <w:tab w:val="left" w:pos="733" w:leader="none"/>
          <w:tab w:val="left" w:pos="900"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9.1.2.2 A tentativa de burla será verificada por meio dos vínculos societários, linhas de fornecimento similares, dentre outros.</w:t>
      </w:r>
    </w:p>
    <w:p>
      <w:pPr>
        <w:pStyle w:val="ListParagraph"/>
        <w:widowControl/>
        <w:numPr>
          <w:ilvl w:val="0"/>
          <w:numId w:val="0"/>
        </w:numPr>
        <w:tabs>
          <w:tab w:val="clear" w:pos="720"/>
          <w:tab w:val="left" w:pos="733" w:leader="none"/>
          <w:tab w:val="left" w:pos="900"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9.1.2.3 O licitante será convocado para manifestação previamente à sua desclassificação.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9.1.3 Constatada a existência de sanção, o Pregoeiro reputará o licitante inabilitado, por falta de condição de participação.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widowControl/>
        <w:numPr>
          <w:ilvl w:val="1"/>
          <w:numId w:val="2"/>
        </w:numPr>
        <w:tabs>
          <w:tab w:val="clear" w:pos="720"/>
          <w:tab w:val="left" w:pos="567" w:leader="none"/>
        </w:tabs>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lang w:eastAsia="ar-SA"/>
        </w:rPr>
        <w:t xml:space="preserve"> </w:t>
      </w:r>
      <w:r>
        <w:rPr>
          <w:rFonts w:cs="Arial" w:ascii="Verdana" w:hAnsi="Verdana"/>
          <w:color w:val="000000" w:themeColor="text1"/>
          <w:sz w:val="22"/>
          <w:szCs w:val="22"/>
        </w:rPr>
        <w:t xml:space="preserve">Caso atendidas as condições de participação, </w:t>
      </w:r>
      <w:r>
        <w:rPr>
          <w:rFonts w:cs="Arial" w:ascii="Verdana" w:hAnsi="Verdana"/>
          <w:sz w:val="22"/>
          <w:szCs w:val="22"/>
        </w:rPr>
        <w:t>a habilitação dos licitantes será verificada por meio do SICAF, nos documentos por ele abrangidos</w:t>
      </w:r>
      <w:r>
        <w:rPr>
          <w:rFonts w:cs="Arial" w:ascii="Verdana" w:hAnsi="Verdana"/>
          <w:sz w:val="22"/>
          <w:szCs w:val="22"/>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PADRO"/>
        <w:keepNext w:val="false"/>
        <w:widowControl/>
        <w:numPr>
          <w:ilvl w:val="1"/>
          <w:numId w:val="2"/>
        </w:numPr>
        <w:shd w:val="clear" w:color="auto" w:fill="FFFFFF"/>
        <w:tabs>
          <w:tab w:val="clear" w:pos="720"/>
          <w:tab w:val="left" w:pos="567" w:leader="none"/>
        </w:tabs>
        <w:bidi w:val="0"/>
        <w:spacing w:lineRule="auto" w:line="276" w:before="120" w:after="120"/>
        <w:ind w:left="0" w:right="0" w:hanging="0"/>
        <w:jc w:val="both"/>
        <w:textAlignment w:val="baseline"/>
        <w:rPr>
          <w:rFonts w:ascii="Verdana" w:hAnsi="Verdana"/>
          <w:sz w:val="22"/>
          <w:szCs w:val="22"/>
        </w:rPr>
      </w:pPr>
      <w:r>
        <w:rPr>
          <w:rFonts w:cs="Arial" w:ascii="Verdana" w:hAnsi="Verdana"/>
          <w:color w:val="000000" w:themeColor="text1"/>
          <w:sz w:val="22"/>
          <w:szCs w:val="22"/>
        </w:rPr>
        <w:t>Havendo a n</w:t>
      </w:r>
      <w:r>
        <w:rPr>
          <w:rFonts w:cs="Arial" w:ascii="Verdana" w:hAnsi="Verdana"/>
          <w:color w:val="000000"/>
          <w:sz w:val="22"/>
          <w:szCs w:val="22"/>
        </w:rPr>
        <w:t>ecessidade de envio de documentos de habilitação complementares</w:t>
      </w:r>
      <w:r>
        <w:rPr>
          <w:rFonts w:cs="Arial" w:ascii="Verdana" w:hAnsi="Verdana"/>
          <w:color w:val="000000" w:themeColor="text1"/>
          <w:sz w:val="22"/>
          <w:szCs w:val="22"/>
        </w:rPr>
        <w:t xml:space="preserve">, </w:t>
      </w:r>
      <w:r>
        <w:rPr>
          <w:rFonts w:cs="Arial" w:ascii="Verdana" w:hAnsi="Verdana"/>
          <w:color w:val="000000"/>
          <w:sz w:val="22"/>
          <w:szCs w:val="22"/>
        </w:rPr>
        <w:t>necessários à confirmação daqueles exigidos neste Edital e já apresentados, </w:t>
      </w:r>
      <w:r>
        <w:rPr>
          <w:rFonts w:cs="Arial" w:ascii="Verdana" w:hAnsi="Verdana"/>
          <w:color w:val="000000" w:themeColor="text1"/>
          <w:sz w:val="22"/>
          <w:szCs w:val="22"/>
        </w:rPr>
        <w:t xml:space="preserve">o licitante será convocado a encaminhá-los, </w:t>
      </w:r>
      <w:r>
        <w:rPr>
          <w:rFonts w:cs="Arial" w:ascii="Verdana" w:hAnsi="Verdana"/>
          <w:color w:val="000000"/>
          <w:sz w:val="22"/>
          <w:szCs w:val="22"/>
        </w:rPr>
        <w:t>em formato digital, via sistema,</w:t>
      </w:r>
      <w:r>
        <w:rPr>
          <w:rFonts w:cs="Arial" w:ascii="Verdana" w:hAnsi="Verdana"/>
          <w:color w:val="000000" w:themeColor="text1"/>
          <w:sz w:val="22"/>
          <w:szCs w:val="22"/>
        </w:rPr>
        <w:t xml:space="preserve"> no prazo de 02 (duas) horas, sob pena de inabilitação.</w:t>
      </w:r>
    </w:p>
    <w:p>
      <w:pPr>
        <w:pStyle w:val="PADRO"/>
        <w:widowControl/>
        <w:numPr>
          <w:ilvl w:val="1"/>
          <w:numId w:val="2"/>
        </w:numPr>
        <w:shd w:val="clear" w:color="auto" w:fill="FFFFFF"/>
        <w:tabs>
          <w:tab w:val="clear" w:pos="720"/>
          <w:tab w:val="left" w:pos="567" w:leader="none"/>
        </w:tabs>
        <w:bidi w:val="0"/>
        <w:spacing w:lineRule="auto" w:line="276" w:before="120" w:after="120"/>
        <w:ind w:left="0" w:right="0" w:hanging="0"/>
        <w:jc w:val="both"/>
        <w:textAlignment w:val="baseline"/>
        <w:rPr>
          <w:rFonts w:ascii="Verdana" w:hAnsi="Verdana"/>
          <w:sz w:val="22"/>
          <w:szCs w:val="22"/>
        </w:rPr>
      </w:pPr>
      <w:r>
        <w:rPr>
          <w:rFonts w:cs="Arial" w:ascii="Verdana" w:hAnsi="Verdana"/>
          <w:sz w:val="22"/>
          <w:szCs w:val="22"/>
        </w:rPr>
        <w:t>Somente haverá a necessidade de comprovação do preenchimento de requisitos mediante apresentação dos documentos originais não-digitais quando houver dúvida em relação à integridade do documento digital.</w:t>
      </w:r>
    </w:p>
    <w:p>
      <w:pPr>
        <w:pStyle w:val="PADRO"/>
        <w:widowControl/>
        <w:numPr>
          <w:ilvl w:val="1"/>
          <w:numId w:val="2"/>
        </w:numPr>
        <w:shd w:val="clear" w:color="auto" w:fill="FFFFFF"/>
        <w:tabs>
          <w:tab w:val="clear" w:pos="720"/>
          <w:tab w:val="left" w:pos="567" w:leader="none"/>
        </w:tabs>
        <w:bidi w:val="0"/>
        <w:spacing w:lineRule="auto" w:line="276" w:before="120" w:after="120"/>
        <w:ind w:left="0" w:right="0" w:hanging="0"/>
        <w:jc w:val="both"/>
        <w:textAlignment w:val="baseline"/>
        <w:rPr>
          <w:rFonts w:ascii="Verdana" w:hAnsi="Verdana"/>
          <w:sz w:val="22"/>
          <w:szCs w:val="22"/>
        </w:rPr>
      </w:pPr>
      <w:r>
        <w:rPr>
          <w:rFonts w:cs="Arial" w:ascii="Verdana" w:hAnsi="Verdana"/>
          <w:sz w:val="22"/>
          <w:szCs w:val="22"/>
        </w:rPr>
        <w:t>Não serão aceitos documentos de habilitação com indicação de CNPJ/CPF diferentes, salvo aqueles legalmente permitidos.</w:t>
      </w:r>
    </w:p>
    <w:p>
      <w:pPr>
        <w:pStyle w:val="PADRO"/>
        <w:widowControl/>
        <w:numPr>
          <w:ilvl w:val="1"/>
          <w:numId w:val="2"/>
        </w:numPr>
        <w:shd w:val="clear" w:color="auto" w:fill="FFFFFF"/>
        <w:tabs>
          <w:tab w:val="clear" w:pos="720"/>
          <w:tab w:val="left" w:pos="567" w:leader="none"/>
        </w:tabs>
        <w:bidi w:val="0"/>
        <w:spacing w:lineRule="auto" w:line="276" w:before="120" w:after="120"/>
        <w:ind w:left="0" w:right="0" w:hanging="0"/>
        <w:jc w:val="both"/>
        <w:textAlignment w:val="baseline"/>
        <w:rPr>
          <w:rFonts w:ascii="Verdana" w:hAnsi="Verdana"/>
          <w:sz w:val="22"/>
          <w:szCs w:val="22"/>
        </w:rPr>
      </w:pPr>
      <w:r>
        <w:rPr>
          <w:rFonts w:cs="Arial" w:ascii="Verdana" w:hAnsi="Verdana"/>
          <w:sz w:val="22"/>
          <w:szCs w:val="22"/>
        </w:rPr>
        <w:t>Serão aceitos registros de CNPJ de licitante matriz e filial com diferenças de números de documentos pertinentes ao CND e ao CRF/FGTS, quando for comprovada a centralização do recolhimento dessas contribuições.</w:t>
      </w:r>
    </w:p>
    <w:p>
      <w:pPr>
        <w:pStyle w:val="PADRO"/>
        <w:widowControl/>
        <w:numPr>
          <w:ilvl w:val="1"/>
          <w:numId w:val="2"/>
        </w:numPr>
        <w:shd w:val="clear" w:color="auto" w:fill="FFFFFF"/>
        <w:tabs>
          <w:tab w:val="clear" w:pos="720"/>
          <w:tab w:val="left" w:pos="567" w:leader="none"/>
        </w:tabs>
        <w:bidi w:val="0"/>
        <w:spacing w:lineRule="auto" w:line="276" w:before="120" w:after="120"/>
        <w:ind w:left="0" w:right="0" w:hanging="0"/>
        <w:jc w:val="both"/>
        <w:textAlignment w:val="baseline"/>
        <w:rPr>
          <w:rFonts w:ascii="Verdana" w:hAnsi="Verdana"/>
          <w:sz w:val="22"/>
          <w:szCs w:val="22"/>
        </w:rPr>
      </w:pPr>
      <w:r>
        <w:rPr>
          <w:rFonts w:cs="Arial" w:ascii="Verdana" w:hAnsi="Verdana"/>
          <w:sz w:val="22"/>
          <w:szCs w:val="22"/>
        </w:rPr>
        <w:t>Ressalvado o disposto no item 5.3, os licitantes deverão encaminhar, nos termos deste Edital, a documentação relacionada nos itens a seguir, para fins de habilitação:</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b/>
          <w:bCs/>
          <w:color w:val="000000"/>
          <w:sz w:val="22"/>
          <w:szCs w:val="22"/>
        </w:rPr>
        <w:t>Habilitação jurídica:</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No caso de empresário individual: inscrição no Registro Público de Empresas Mercantis, a cargo da Junta Comercial da respectiva sede;</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 xml:space="preserve">Em se tratando de microempreendedor individual – MEI: Certificado da Condição de Microempreendedor Individual – CCMEI, cuja aceitação ficará condicionada à verificação da autenticidade no sítio </w:t>
      </w:r>
      <w:hyperlink r:id="rId9">
        <w:r>
          <w:rPr>
            <w:rStyle w:val="LinkdaInternet"/>
            <w:rFonts w:cs="Arial" w:ascii="Verdana" w:hAnsi="Verdana"/>
            <w:bCs/>
            <w:color w:val="000000"/>
            <w:sz w:val="22"/>
            <w:szCs w:val="22"/>
          </w:rPr>
          <w:t>www.portaldoempreendedor.gov.br</w:t>
        </w:r>
      </w:hyperlink>
      <w:r>
        <w:rPr>
          <w:rFonts w:cs="Arial" w:ascii="Verdana" w:hAnsi="Verdana"/>
          <w:bCs/>
          <w:color w:val="000000"/>
          <w:sz w:val="22"/>
          <w:szCs w:val="22"/>
        </w:rPr>
        <w:t>;</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Inscrição no Registro Público de Empresas Mercantis onde opera, com averbação no Registro onde tem sede a matriz, no caso de ser o participante sucursal, filial ou agência;</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No caso de sociedade simples: inscrição do ato constitutivo no Registro Civil das Pessoas Jurídicas do local de sua sede, acompanhada de prova da indicação dos seus administradores;</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No caso de empresa ou sociedade estrangeira em funcionamento no País: decreto de autorização;</w:t>
      </w:r>
    </w:p>
    <w:p>
      <w:pPr>
        <w:pStyle w:val="ListParagraph"/>
        <w:widowControl/>
        <w:numPr>
          <w:ilvl w:val="2"/>
          <w:numId w:val="2"/>
        </w:numPr>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Os documentos acima deverão estar acompanhados de todas as alterações ou da consolidação respectiva;</w:t>
      </w:r>
    </w:p>
    <w:p>
      <w:pPr>
        <w:pStyle w:val="ListParagraph"/>
        <w:widowControl/>
        <w:numPr>
          <w:ilvl w:val="0"/>
          <w:numId w:val="0"/>
        </w:numPr>
        <w:bidi w:val="0"/>
        <w:spacing w:lineRule="auto" w:line="276" w:before="120" w:after="120"/>
        <w:ind w:left="1638"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2"/>
        </w:numPr>
        <w:bidi w:val="0"/>
        <w:spacing w:lineRule="auto" w:line="276" w:before="6" w:after="6"/>
        <w:ind w:left="0" w:right="0" w:hanging="0"/>
        <w:contextualSpacing/>
        <w:jc w:val="both"/>
        <w:rPr>
          <w:rFonts w:ascii="Verdana" w:hAnsi="Verdana"/>
          <w:sz w:val="22"/>
          <w:szCs w:val="22"/>
        </w:rPr>
      </w:pPr>
      <w:r>
        <w:rPr>
          <w:rFonts w:cs="Arial" w:ascii="Verdana" w:hAnsi="Verdana"/>
          <w:b/>
          <w:bCs/>
          <w:color w:val="000000"/>
          <w:sz w:val="22"/>
          <w:szCs w:val="22"/>
        </w:rPr>
        <w:t xml:space="preserve">Regularidade fiscal </w:t>
      </w:r>
      <w:r>
        <w:rPr>
          <w:rFonts w:cs="Arial" w:ascii="Verdana" w:hAnsi="Verdana"/>
          <w:b/>
          <w:bCs/>
          <w:sz w:val="22"/>
          <w:szCs w:val="22"/>
        </w:rPr>
        <w:t>e trabalhista</w:t>
      </w:r>
      <w:r>
        <w:rPr>
          <w:rFonts w:cs="Arial" w:ascii="Verdana" w:hAnsi="Verdana"/>
          <w:b/>
          <w:bCs/>
          <w:color w:val="0000FF"/>
          <w:sz w:val="22"/>
          <w:szCs w:val="22"/>
        </w:rPr>
        <w:t>:</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lang w:eastAsia="en-US"/>
        </w:rPr>
        <w:t>Prova de inscrição no Cadastro Nacional de Pessoas Jurídicas ou no Cadastro de Pessoas Físicas, conforme o caso;</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lang w:eastAsia="en-US"/>
        </w:rPr>
        <w:t>Certidão de regularidade junto à fazenda pública</w:t>
      </w:r>
      <w:r>
        <w:rPr>
          <w:rFonts w:cs="Arial" w:ascii="Verdana" w:hAnsi="Verdana"/>
          <w:b/>
          <w:sz w:val="22"/>
          <w:szCs w:val="22"/>
          <w:lang w:eastAsia="en-US"/>
        </w:rPr>
        <w:t xml:space="preserve"> Municipal, </w:t>
      </w:r>
      <w:r>
        <w:rPr>
          <w:rFonts w:cs="Arial" w:ascii="Verdana" w:hAnsi="Verdana"/>
          <w:sz w:val="22"/>
          <w:szCs w:val="22"/>
          <w:lang w:eastAsia="en-US"/>
        </w:rPr>
        <w:t>do domicílio do Licitante</w:t>
      </w:r>
      <w:r>
        <w:rPr>
          <w:rFonts w:cs="Arial" w:ascii="Verdana" w:hAnsi="Verdana"/>
          <w:b/>
          <w:sz w:val="22"/>
          <w:szCs w:val="22"/>
          <w:lang w:eastAsia="en-US"/>
        </w:rPr>
        <w:t>;</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Certidão de regularidade junto à fazenda pública</w:t>
      </w:r>
      <w:r>
        <w:rPr>
          <w:rFonts w:cs="Arial" w:ascii="Verdana" w:hAnsi="Verdana"/>
          <w:b/>
          <w:sz w:val="22"/>
          <w:szCs w:val="22"/>
        </w:rPr>
        <w:t xml:space="preserve"> Estadual, </w:t>
      </w:r>
      <w:r>
        <w:rPr>
          <w:rFonts w:cs="Arial" w:ascii="Verdana" w:hAnsi="Verdana"/>
          <w:sz w:val="22"/>
          <w:szCs w:val="22"/>
        </w:rPr>
        <w:t>do domicílio do Licitante</w:t>
      </w:r>
      <w:r>
        <w:rPr>
          <w:rFonts w:cs="Arial" w:ascii="Verdana" w:hAnsi="Verdana"/>
          <w:b/>
          <w:sz w:val="22"/>
          <w:szCs w:val="22"/>
        </w:rPr>
        <w:t>;</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 xml:space="preserve">Certidão conjunta de regularidade junto à fazenda pública </w:t>
      </w:r>
      <w:r>
        <w:rPr>
          <w:rFonts w:cs="Arial" w:ascii="Verdana" w:hAnsi="Verdana"/>
          <w:b/>
          <w:sz w:val="22"/>
          <w:szCs w:val="22"/>
        </w:rPr>
        <w:t>Federal,</w:t>
      </w:r>
      <w:r>
        <w:rPr>
          <w:rFonts w:cs="Arial" w:ascii="Verdana" w:hAnsi="Verdana"/>
          <w:sz w:val="22"/>
          <w:szCs w:val="22"/>
        </w:rPr>
        <w:t xml:space="preserve"> </w:t>
      </w:r>
      <w:r>
        <w:rPr>
          <w:rFonts w:cs="Arial" w:ascii="Verdana" w:hAnsi="Verdana"/>
          <w:b/>
          <w:sz w:val="22"/>
          <w:szCs w:val="22"/>
        </w:rPr>
        <w:t xml:space="preserve">(Quitação de tributos e contribuições Federais e Quanto à dívida ativa da União) </w:t>
      </w:r>
      <w:r>
        <w:rPr>
          <w:rFonts w:cs="Arial" w:ascii="Verdana" w:hAnsi="Verdana"/>
          <w:sz w:val="22"/>
          <w:szCs w:val="22"/>
        </w:rPr>
        <w:t>e junto ao</w:t>
      </w:r>
      <w:r>
        <w:rPr>
          <w:rFonts w:cs="Arial" w:ascii="Verdana" w:hAnsi="Verdana"/>
          <w:b/>
          <w:sz w:val="22"/>
          <w:szCs w:val="22"/>
        </w:rPr>
        <w:t xml:space="preserve"> INSS, conforme Portaria MF nº 358 de 05/09/2014;</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Certidão de regularidade junto ao</w:t>
      </w:r>
      <w:r>
        <w:rPr>
          <w:rFonts w:cs="Arial" w:ascii="Verdana" w:hAnsi="Verdana"/>
          <w:b/>
          <w:sz w:val="22"/>
          <w:szCs w:val="22"/>
        </w:rPr>
        <w:t xml:space="preserve"> FGTS;</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b w:val="false"/>
          <w:bCs w:val="false"/>
          <w:sz w:val="22"/>
          <w:szCs w:val="22"/>
          <w:lang w:eastAsia="en-US"/>
        </w:rPr>
        <w:t>Certidão Negativa De Débitos Trabalhistas (CNDT) de acordo com a Lei 12440 de 7 de julho de 2011.</w:t>
      </w:r>
    </w:p>
    <w:p>
      <w:pPr>
        <w:pStyle w:val="Normal"/>
        <w:widowControl/>
        <w:numPr>
          <w:ilvl w:val="2"/>
          <w:numId w:val="2"/>
        </w:numPr>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lang w:eastAsia="en-US" w:bidi="pt-BR"/>
        </w:rPr>
        <w:t xml:space="preserve">Caso o licitante detentor do menor preço seja qualificado como microempresa ou empresa de pequeno porte </w:t>
      </w:r>
      <w:r>
        <w:rPr>
          <w:rFonts w:cs="Arial" w:ascii="Verdana" w:hAnsi="Verdana"/>
          <w:color w:val="000000"/>
          <w:sz w:val="22"/>
          <w:szCs w:val="22"/>
          <w:lang w:eastAsia="en-US"/>
        </w:rPr>
        <w:t>deverá apresentar toda a documentação exigida para efeito de comprovação de regularidade fiscal, mesmo que esta apresente alguma restrição, sob pena de inabilitação.</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b/>
          <w:color w:val="000000"/>
          <w:sz w:val="22"/>
          <w:szCs w:val="22"/>
        </w:rPr>
        <w:t>Qualificação Econômico-Financeira</w:t>
      </w:r>
      <w:r>
        <w:rPr>
          <w:rFonts w:cs="Arial" w:ascii="Verdana" w:hAnsi="Verdana"/>
          <w:color w:val="000000"/>
          <w:sz w:val="22"/>
          <w:szCs w:val="22"/>
        </w:rPr>
        <w:t>.</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 xml:space="preserve">Certidão negativa de falência, recuperação judicial e extrajudicial, expedida pelo cartório distribuidor da sede da Licitante ou por meio digital, emitida em </w:t>
      </w:r>
      <w:r>
        <w:rPr>
          <w:rFonts w:cs="Arial" w:ascii="Verdana" w:hAnsi="Verdana"/>
          <w:b/>
          <w:color w:val="000000"/>
          <w:sz w:val="22"/>
          <w:szCs w:val="22"/>
        </w:rPr>
        <w:t>até 30 (trinta)</w:t>
      </w:r>
      <w:r>
        <w:rPr>
          <w:rFonts w:cs="Arial" w:ascii="Verdana" w:hAnsi="Verdana"/>
          <w:color w:val="000000"/>
          <w:sz w:val="22"/>
          <w:szCs w:val="22"/>
        </w:rPr>
        <w:t xml:space="preserve"> dias anteriores à data de abertura da Licitação;</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Havendo algum prazo de validade estabelecido por cartório na certidão citada na letra anterior, será considerado o prazo constante da certidão para comprovação da sua validade.</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 xml:space="preserve"> </w:t>
      </w:r>
      <w:r>
        <w:rPr>
          <w:rFonts w:cs="Arial" w:ascii="Verdana" w:hAnsi="Verdana"/>
          <w:sz w:val="22"/>
          <w:szCs w:val="22"/>
        </w:rPr>
        <w:t xml:space="preserve">Para a contagem do prazo estabelecido na letra </w:t>
      </w:r>
      <w:r>
        <w:rPr>
          <w:rFonts w:cs="Arial" w:ascii="Verdana" w:hAnsi="Verdana"/>
          <w:b/>
          <w:sz w:val="22"/>
          <w:szCs w:val="22"/>
        </w:rPr>
        <w:t>“a”</w:t>
      </w:r>
      <w:r>
        <w:rPr>
          <w:rFonts w:cs="Arial" w:ascii="Verdana" w:hAnsi="Verdana"/>
          <w:sz w:val="22"/>
          <w:szCs w:val="22"/>
        </w:rPr>
        <w:t xml:space="preserve"> deste capítulo, será contado a partir do primeiro dia que antecede a data da realização desta licitação.</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b/>
          <w:color w:val="000000"/>
          <w:sz w:val="22"/>
          <w:szCs w:val="22"/>
        </w:rPr>
        <w:t>Qualificação</w:t>
      </w:r>
      <w:r>
        <w:rPr>
          <w:rFonts w:cs="Arial" w:ascii="Verdana" w:hAnsi="Verdana"/>
          <w:b/>
          <w:bCs/>
          <w:iCs/>
          <w:color w:val="000000"/>
          <w:sz w:val="22"/>
          <w:szCs w:val="22"/>
        </w:rPr>
        <w:t xml:space="preserve"> Técnica</w:t>
      </w:r>
    </w:p>
    <w:p>
      <w:pPr>
        <w:pStyle w:val="Normal"/>
        <w:widowControl/>
        <w:numPr>
          <w:ilvl w:val="0"/>
          <w:numId w:val="0"/>
        </w:numPr>
        <w:tabs>
          <w:tab w:val="clear" w:pos="720"/>
          <w:tab w:val="left" w:pos="850" w:leader="none"/>
        </w:tabs>
        <w:bidi w:val="0"/>
        <w:snapToGrid w:val="false"/>
        <w:spacing w:lineRule="auto" w:line="276" w:before="120" w:after="120"/>
        <w:ind w:left="0" w:right="0" w:hanging="0"/>
        <w:contextualSpacing/>
        <w:jc w:val="both"/>
        <w:rPr>
          <w:rFonts w:ascii="Verdana" w:hAnsi="Verdana"/>
          <w:sz w:val="22"/>
          <w:szCs w:val="22"/>
        </w:rPr>
      </w:pPr>
      <w:r>
        <w:rPr>
          <w:rFonts w:cs="Arial" w:ascii="Verdana" w:hAnsi="Verdana"/>
          <w:bCs/>
          <w:iCs/>
          <w:color w:val="000000" w:themeColor="text1"/>
          <w:sz w:val="22"/>
          <w:szCs w:val="22"/>
        </w:rPr>
        <w:t xml:space="preserve">9.11.1. </w:t>
      </w:r>
      <w:r>
        <w:rPr>
          <w:rFonts w:ascii="Verdana" w:hAnsi="Verdana"/>
          <w:sz w:val="22"/>
          <w:szCs w:val="22"/>
        </w:rPr>
        <w:t>A própria Constituição Federal, garante em seu art. 37, XXI, in fine, que somente serão permitidas exigências de qualificação técnicas indispensáveis à garantia do cumprimento das obrigações, de modo que os requisitos de habilitação técnicas previstas no art. 30 da Lei 8.666/93 não precisam constar em todas as licitações, devendo o gestor público, diante de seu poder discricionário e da complexidade do objeto, indicar e justificar tecnicamente as exigências fixadas no edital.</w:t>
      </w:r>
    </w:p>
    <w:p>
      <w:pPr>
        <w:pStyle w:val="Normal"/>
        <w:widowControl/>
        <w:numPr>
          <w:ilvl w:val="0"/>
          <w:numId w:val="0"/>
        </w:numPr>
        <w:tabs>
          <w:tab w:val="clear" w:pos="720"/>
          <w:tab w:val="left" w:pos="850" w:leader="none"/>
        </w:tabs>
        <w:bidi w:val="0"/>
        <w:snapToGrid w:val="false"/>
        <w:spacing w:lineRule="auto" w:line="276" w:before="120" w:after="120"/>
        <w:ind w:left="1638" w:right="0" w:hanging="0"/>
        <w:contextualSpacing/>
        <w:jc w:val="both"/>
        <w:rPr>
          <w:strike w:val="false"/>
          <w:dstrike w:val="false"/>
          <w:u w:val="none"/>
        </w:rPr>
      </w:pPr>
      <w:r>
        <w:rPr>
          <w:strike w:val="false"/>
          <w:dstrike w:val="false"/>
          <w:u w:val="none"/>
        </w:rPr>
      </w:r>
    </w:p>
    <w:p>
      <w:pPr>
        <w:pStyle w:val="Normal"/>
        <w:widowControl/>
        <w:numPr>
          <w:ilvl w:val="0"/>
          <w:numId w:val="0"/>
        </w:numPr>
        <w:tabs>
          <w:tab w:val="clear" w:pos="720"/>
          <w:tab w:val="left" w:pos="850" w:leader="none"/>
        </w:tabs>
        <w:bidi w:val="0"/>
        <w:snapToGrid w:val="false"/>
        <w:spacing w:lineRule="auto" w:line="276" w:before="120" w:after="120"/>
        <w:ind w:left="0" w:right="0" w:hanging="0"/>
        <w:contextualSpacing/>
        <w:jc w:val="both"/>
        <w:rPr>
          <w:rFonts w:ascii="Verdana" w:hAnsi="Verdana"/>
          <w:sz w:val="22"/>
          <w:szCs w:val="22"/>
        </w:rPr>
      </w:pPr>
      <w:r>
        <w:rPr>
          <w:rFonts w:ascii="Verdana" w:hAnsi="Verdana"/>
          <w:strike w:val="false"/>
          <w:dstrike w:val="false"/>
          <w:sz w:val="22"/>
          <w:szCs w:val="22"/>
          <w:u w:val="none"/>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pPr>
        <w:pStyle w:val="ListParagraph"/>
        <w:widowControl/>
        <w:numPr>
          <w:ilvl w:val="1"/>
          <w:numId w:val="2"/>
        </w:numPr>
        <w:tabs>
          <w:tab w:val="clear" w:pos="720"/>
          <w:tab w:val="left" w:pos="617" w:leader="none"/>
        </w:tabs>
        <w:bidi w:val="0"/>
        <w:snapToGrid w:val="false"/>
        <w:spacing w:lineRule="auto" w:line="276" w:before="120" w:after="120"/>
        <w:ind w:left="0" w:right="0" w:hanging="0"/>
        <w:contextualSpacing/>
        <w:jc w:val="both"/>
        <w:rPr>
          <w:rFonts w:ascii="Verdana" w:hAnsi="Verdana"/>
          <w:sz w:val="22"/>
          <w:szCs w:val="22"/>
        </w:rPr>
      </w:pPr>
      <w:r>
        <w:rPr>
          <w:rFonts w:cs="Arial" w:ascii="Verdana" w:hAnsi="Verdana"/>
          <w:bCs/>
          <w:sz w:val="22"/>
          <w:szCs w:val="22"/>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pPr>
        <w:pStyle w:val="ListParagraph"/>
        <w:widowControl/>
        <w:numPr>
          <w:ilvl w:val="1"/>
          <w:numId w:val="2"/>
        </w:numPr>
        <w:tabs>
          <w:tab w:val="clear" w:pos="720"/>
          <w:tab w:val="left" w:pos="617" w:leader="none"/>
        </w:tabs>
        <w:bidi w:val="0"/>
        <w:snapToGrid w:val="false"/>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A existência de restrição relativamente à regularidade fiscal e trabalhista não impede que a licitante qualificada como microempresa ou empresa de pequeno porte seja declarada vencedora, uma vez que atenda a todas as demais exigências do edital.</w:t>
      </w:r>
    </w:p>
    <w:p>
      <w:pPr>
        <w:pStyle w:val="ListParagraph"/>
        <w:widowControl/>
        <w:numPr>
          <w:ilvl w:val="2"/>
          <w:numId w:val="29"/>
        </w:numPr>
        <w:tabs>
          <w:tab w:val="clear" w:pos="720"/>
          <w:tab w:val="left" w:pos="850"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A declaração do vencedor acontecerá no momento imediatamente posterior à fase de habilitação.</w:t>
      </w:r>
    </w:p>
    <w:p>
      <w:pPr>
        <w:pStyle w:val="ListParagraph"/>
        <w:widowControl/>
        <w:numPr>
          <w:ilvl w:val="1"/>
          <w:numId w:val="30"/>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sz w:val="22"/>
          <w:szCs w:val="22"/>
        </w:rPr>
        <w:t xml:space="preserve">Caso a </w:t>
      </w:r>
      <w:r>
        <w:rPr>
          <w:rFonts w:cs="Arial" w:ascii="Verdana" w:hAnsi="Verdana"/>
          <w:bCs/>
          <w:color w:val="000000"/>
          <w:sz w:val="22"/>
          <w:szCs w:val="22"/>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pPr>
        <w:pStyle w:val="ListParagraph"/>
        <w:widowControl/>
        <w:numPr>
          <w:ilvl w:val="1"/>
          <w:numId w:val="31"/>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bCs/>
          <w:color w:val="000000"/>
          <w:sz w:val="22"/>
          <w:szCs w:val="22"/>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pPr>
        <w:pStyle w:val="ListParagraph"/>
        <w:widowControl/>
        <w:numPr>
          <w:ilvl w:val="1"/>
          <w:numId w:val="32"/>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Havendo necessidade de analisar minuciosamente os documentos exigidos, o Pregoeiro suspenderá a sessão, informando no “chat” a nova data e horário para a continuidade da mesma.</w:t>
      </w:r>
    </w:p>
    <w:p>
      <w:pPr>
        <w:pStyle w:val="ListParagraph"/>
        <w:widowControl/>
        <w:numPr>
          <w:ilvl w:val="1"/>
          <w:numId w:val="33"/>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Será inabilitado o licitante que não comprovar sua habilitação, seja por não apresentar quaisquer dos documentos exigidos, ou apresentá-los em desacordo com o e</w:t>
      </w:r>
      <w:r>
        <w:rPr>
          <w:rFonts w:cs="Arial" w:ascii="Verdana" w:hAnsi="Verdana"/>
          <w:color w:val="000000"/>
          <w:sz w:val="22"/>
          <w:szCs w:val="22"/>
          <w:lang w:eastAsia="en-US"/>
        </w:rPr>
        <w:t>stabelecido neste Edital.</w:t>
      </w:r>
    </w:p>
    <w:p>
      <w:pPr>
        <w:pStyle w:val="ListParagraph"/>
        <w:widowControl/>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ascii="Verdana" w:hAnsi="Verdana"/>
          <w:sz w:val="22"/>
          <w:szCs w:val="22"/>
        </w:rPr>
      </w:r>
    </w:p>
    <w:p>
      <w:pPr>
        <w:pStyle w:val="ListParagraph"/>
        <w:widowControl/>
        <w:numPr>
          <w:ilvl w:val="1"/>
          <w:numId w:val="34"/>
        </w:numPr>
        <w:tabs>
          <w:tab w:val="clear" w:pos="720"/>
          <w:tab w:val="left" w:pos="517" w:leader="none"/>
        </w:tabs>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Constatado o atendimento às exigências de habilitação fixadas no Edital, o licitante será declarado vencedor.</w:t>
      </w:r>
    </w:p>
    <w:p>
      <w:pPr>
        <w:pStyle w:val="Nivel01"/>
        <w:numPr>
          <w:ilvl w:val="0"/>
          <w:numId w:val="2"/>
        </w:numPr>
        <w:ind w:left="0" w:hanging="0"/>
        <w:rPr>
          <w:rFonts w:ascii="Verdana" w:hAnsi="Verdana"/>
          <w:sz w:val="22"/>
          <w:szCs w:val="22"/>
        </w:rPr>
      </w:pPr>
      <w:r>
        <w:rPr>
          <w:rFonts w:cs="Arial" w:ascii="Verdana" w:hAnsi="Verdana"/>
          <w:color w:val="auto"/>
          <w:sz w:val="22"/>
          <w:szCs w:val="22"/>
          <w:lang w:eastAsia="en-US"/>
        </w:rPr>
        <w:t xml:space="preserve">DO </w:t>
      </w:r>
      <w:r>
        <w:rPr>
          <w:rFonts w:cs="Arial" w:ascii="Verdana" w:hAnsi="Verdana"/>
          <w:color w:val="auto"/>
          <w:sz w:val="22"/>
          <w:szCs w:val="22"/>
        </w:rPr>
        <w:t>ENCAMINHAMENTO</w:t>
      </w:r>
      <w:r>
        <w:rPr>
          <w:rFonts w:cs="Arial" w:ascii="Verdana" w:hAnsi="Verdana"/>
          <w:color w:val="auto"/>
          <w:sz w:val="22"/>
          <w:szCs w:val="22"/>
          <w:lang w:eastAsia="en-US"/>
        </w:rPr>
        <w:t xml:space="preserve"> DA PROPOSTA VENCEDORA</w:t>
      </w:r>
    </w:p>
    <w:p>
      <w:pPr>
        <w:pStyle w:val="ListParagraph"/>
        <w:widowControl/>
        <w:numPr>
          <w:ilvl w:val="1"/>
          <w:numId w:val="2"/>
        </w:numPr>
        <w:tabs>
          <w:tab w:val="clear" w:pos="720"/>
          <w:tab w:val="left" w:pos="617" w:leader="none"/>
        </w:tabs>
        <w:bidi w:val="0"/>
        <w:spacing w:lineRule="auto" w:line="276" w:before="120" w:after="120"/>
        <w:ind w:left="0" w:right="0" w:hanging="0"/>
        <w:contextualSpacing/>
        <w:jc w:val="both"/>
        <w:rPr>
          <w:rFonts w:ascii="Verdana" w:hAnsi="Verdana"/>
          <w:sz w:val="22"/>
          <w:szCs w:val="22"/>
        </w:rPr>
      </w:pPr>
      <w:r>
        <w:rPr>
          <w:rFonts w:cs="Arial" w:ascii="Verdana" w:hAnsi="Verdana"/>
          <w:iCs/>
          <w:sz w:val="22"/>
          <w:szCs w:val="22"/>
        </w:rPr>
        <w:t xml:space="preserve">A proposta final do licitante declarado vencedor deverá ser encaminhada no prazo de </w:t>
      </w:r>
      <w:r>
        <w:rPr>
          <w:rFonts w:cs="Arial" w:ascii="Verdana" w:hAnsi="Verdana"/>
          <w:bCs/>
          <w:iCs/>
          <w:sz w:val="22"/>
          <w:szCs w:val="22"/>
        </w:rPr>
        <w:t>02 (duas) horas</w:t>
      </w:r>
      <w:r>
        <w:rPr>
          <w:rFonts w:cs="Arial" w:ascii="Verdana" w:hAnsi="Verdana"/>
          <w:iCs/>
          <w:sz w:val="22"/>
          <w:szCs w:val="22"/>
        </w:rPr>
        <w:t>,</w:t>
      </w:r>
      <w:r>
        <w:rPr>
          <w:rFonts w:cs="Arial" w:ascii="Verdana" w:hAnsi="Verdana"/>
          <w:b/>
          <w:bCs/>
          <w:iCs/>
          <w:sz w:val="22"/>
          <w:szCs w:val="22"/>
        </w:rPr>
        <w:t xml:space="preserve"> </w:t>
      </w:r>
      <w:r>
        <w:rPr>
          <w:rFonts w:cs="Arial" w:ascii="Verdana" w:hAnsi="Verdana"/>
          <w:iCs/>
          <w:sz w:val="22"/>
          <w:szCs w:val="22"/>
        </w:rPr>
        <w:t>a contar da solicitação do Pregoeiro no sistema eletrônico e deverá:</w:t>
      </w:r>
    </w:p>
    <w:p>
      <w:pPr>
        <w:pStyle w:val="Normal"/>
        <w:widowControl/>
        <w:numPr>
          <w:ilvl w:val="2"/>
          <w:numId w:val="2"/>
        </w:numPr>
        <w:tabs>
          <w:tab w:val="clear" w:pos="720"/>
          <w:tab w:val="left" w:pos="617" w:leader="none"/>
          <w:tab w:val="left" w:pos="900" w:leader="none"/>
        </w:tabs>
        <w:bidi w:val="0"/>
        <w:spacing w:lineRule="auto" w:line="276" w:before="120" w:after="120"/>
        <w:ind w:left="0" w:right="0" w:hanging="0"/>
        <w:jc w:val="both"/>
        <w:rPr>
          <w:rFonts w:ascii="Verdana" w:hAnsi="Verdana"/>
          <w:sz w:val="22"/>
          <w:szCs w:val="22"/>
        </w:rPr>
      </w:pPr>
      <w:r>
        <w:rPr>
          <w:rFonts w:cs="Arial" w:ascii="Verdana" w:hAnsi="Verdana"/>
          <w:iCs/>
          <w:sz w:val="22"/>
          <w:szCs w:val="22"/>
        </w:rPr>
        <w:t>Ser redigida em língua portuguesa, datilografada ou digitada, em uma via, sem emendas, rasuras, entrelinhas ou ressalvas, devendo a última folha ser assinada e as demais rubricadas pelo licitante ou seu representante legal.</w:t>
      </w:r>
    </w:p>
    <w:p>
      <w:pPr>
        <w:pStyle w:val="Normal"/>
        <w:widowControl/>
        <w:numPr>
          <w:ilvl w:val="2"/>
          <w:numId w:val="2"/>
        </w:numPr>
        <w:tabs>
          <w:tab w:val="clear" w:pos="720"/>
          <w:tab w:val="left" w:pos="617" w:leader="none"/>
          <w:tab w:val="left" w:pos="900" w:leader="none"/>
        </w:tabs>
        <w:bidi w:val="0"/>
        <w:spacing w:lineRule="auto" w:line="276" w:before="120" w:after="120"/>
        <w:ind w:left="0" w:right="0" w:hanging="0"/>
        <w:jc w:val="both"/>
        <w:rPr>
          <w:rFonts w:ascii="Verdana" w:hAnsi="Verdana"/>
          <w:sz w:val="22"/>
          <w:szCs w:val="22"/>
        </w:rPr>
      </w:pPr>
      <w:r>
        <w:rPr>
          <w:rFonts w:cs="Arial" w:ascii="Verdana" w:hAnsi="Verdana"/>
          <w:iCs/>
          <w:sz w:val="22"/>
          <w:szCs w:val="22"/>
        </w:rPr>
        <w:t>Conter a indicação do banco, número da conta e agência do licitante vencedor, para fins de pagamento.</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iCs/>
          <w:sz w:val="22"/>
          <w:szCs w:val="22"/>
        </w:rPr>
        <w:t>A proposta final deverá ser documentada nos autos e será levada em consideração no decorrer da execução do contrato e aplicação de eventual sanção à Contratada, se for o caso.</w:t>
      </w:r>
    </w:p>
    <w:p>
      <w:pPr>
        <w:pStyle w:val="Normal"/>
        <w:widowControl/>
        <w:numPr>
          <w:ilvl w:val="2"/>
          <w:numId w:val="2"/>
        </w:numPr>
        <w:tabs>
          <w:tab w:val="clear" w:pos="720"/>
          <w:tab w:val="left" w:pos="850" w:leader="none"/>
        </w:tabs>
        <w:bidi w:val="0"/>
        <w:spacing w:lineRule="auto" w:line="276" w:before="120" w:after="120"/>
        <w:ind w:left="0" w:right="0" w:hanging="0"/>
        <w:jc w:val="both"/>
        <w:rPr>
          <w:rFonts w:ascii="Verdana" w:hAnsi="Verdana"/>
          <w:sz w:val="22"/>
          <w:szCs w:val="22"/>
        </w:rPr>
      </w:pPr>
      <w:r>
        <w:rPr>
          <w:rFonts w:cs="Arial" w:ascii="Verdana" w:hAnsi="Verdana"/>
          <w:iCs/>
          <w:sz w:val="22"/>
          <w:szCs w:val="22"/>
        </w:rPr>
        <w:t>Todas as especificações do objeto contidas na proposta, tais como marca, modelo, tipo, fabricante e procedência, vinculam a Contratada.</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Os preços deverão ser expressos em moeda corrente nacional, o valor unitário em algarismos e o valor global em algarismos e por extenso (art. 5º da Lei nº 8.666/93).</w:t>
      </w:r>
    </w:p>
    <w:p>
      <w:pPr>
        <w:pStyle w:val="Normal"/>
        <w:widowControl/>
        <w:numPr>
          <w:ilvl w:val="2"/>
          <w:numId w:val="2"/>
        </w:numPr>
        <w:tabs>
          <w:tab w:val="clear" w:pos="720"/>
          <w:tab w:val="left" w:pos="850" w:leader="none"/>
        </w:tabs>
        <w:bidi w:val="0"/>
        <w:spacing w:lineRule="auto" w:line="276" w:before="120" w:after="120"/>
        <w:ind w:left="0" w:right="0" w:hanging="0"/>
        <w:jc w:val="both"/>
        <w:rPr>
          <w:rFonts w:ascii="Verdana" w:hAnsi="Verdana"/>
          <w:sz w:val="22"/>
          <w:szCs w:val="22"/>
        </w:rPr>
      </w:pPr>
      <w:r>
        <w:rPr>
          <w:rFonts w:cs="Arial" w:ascii="Verdana" w:hAnsi="Verdana"/>
          <w:sz w:val="22"/>
          <w:szCs w:val="22"/>
        </w:rPr>
        <w:t>Ocorrendo divergência entre os preços unitários e o preço global, prevalecerão os primeiros; no caso de divergência entre os valores numéricos e os valores expressos por extenso, prevalecerão estes últimos.</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A oferta deverá ser firme e precisa, limitada, rigorosamente, ao objeto deste Edital, sem conter alternativas de preço ou de qualquer outra condição que induza o julgamento a mais de um resultado, sob pena de desclassificação.</w:t>
      </w:r>
    </w:p>
    <w:p>
      <w:pPr>
        <w:pStyle w:val="ListParagraph"/>
        <w:widowControl/>
        <w:numPr>
          <w:ilvl w:val="0"/>
          <w:numId w:val="0"/>
        </w:numPr>
        <w:bidi w:val="0"/>
        <w:spacing w:lineRule="auto" w:line="276" w:before="120" w:after="120"/>
        <w:ind w:left="999" w:right="0" w:hanging="0"/>
        <w:contextualSpacing/>
        <w:jc w:val="both"/>
        <w:rPr>
          <w:rFonts w:cs="Arial"/>
        </w:rPr>
      </w:pPr>
      <w:r>
        <w:rPr>
          <w:rFonts w:cs="Arial"/>
        </w:rPr>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A proposta deverá obedecer aos termos deste Edital e seus Anexos, não sendo considerada aquela que não corresponda às especificações ali contidas ou que estabeleça vínculo à proposta de outro licitante.</w:t>
      </w:r>
    </w:p>
    <w:p>
      <w:pPr>
        <w:pStyle w:val="ListParagraph"/>
        <w:widowControl/>
        <w:numPr>
          <w:ilvl w:val="0"/>
          <w:numId w:val="0"/>
        </w:numPr>
        <w:bidi w:val="0"/>
        <w:spacing w:lineRule="auto" w:line="276" w:before="120" w:after="120"/>
        <w:ind w:left="999" w:right="0" w:hanging="0"/>
        <w:contextualSpacing/>
        <w:jc w:val="both"/>
        <w:rPr>
          <w:rFonts w:cs="Arial"/>
          <w:color w:val="000000"/>
        </w:rPr>
      </w:pPr>
      <w:r>
        <w:rPr>
          <w:rFonts w:cs="Arial"/>
          <w:color w:val="000000"/>
        </w:rPr>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As propostas que contenham a descrição do objeto, o valor e os documentos complementares estarão disponíveis na internet, após a homologação.</w:t>
      </w:r>
    </w:p>
    <w:p>
      <w:pPr>
        <w:pStyle w:val="Nivel01"/>
        <w:numPr>
          <w:ilvl w:val="0"/>
          <w:numId w:val="2"/>
        </w:numPr>
        <w:ind w:left="0" w:hanging="0"/>
        <w:rPr>
          <w:rFonts w:ascii="Verdana" w:hAnsi="Verdana"/>
          <w:sz w:val="22"/>
          <w:szCs w:val="22"/>
        </w:rPr>
      </w:pPr>
      <w:r>
        <w:rPr>
          <w:rFonts w:cs="Arial" w:ascii="Verdana" w:hAnsi="Verdana"/>
          <w:sz w:val="22"/>
          <w:szCs w:val="22"/>
          <w:lang w:eastAsia="en-US"/>
        </w:rPr>
        <w:t>DOS RECURSOS</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lang w:eastAsia="en-US"/>
        </w:rPr>
        <w:t>Declarado o vencedor e decorr</w:t>
      </w:r>
      <w:r>
        <w:rPr>
          <w:rFonts w:cs="Arial" w:ascii="Verdana" w:hAnsi="Verdana"/>
          <w:color w:val="000000"/>
          <w:sz w:val="22"/>
          <w:szCs w:val="22"/>
        </w:rPr>
        <w:t xml:space="preserve">ida a </w:t>
      </w:r>
      <w:r>
        <w:rPr>
          <w:rFonts w:cs="Arial" w:ascii="Verdana" w:hAnsi="Verdana"/>
          <w:color w:val="000000"/>
          <w:sz w:val="22"/>
          <w:szCs w:val="22"/>
          <w:lang w:eastAsia="en-US"/>
        </w:rPr>
        <w:t xml:space="preserve">fase de regularização fiscal e trabalhista da licitante qualificada como microempresa ou empresa de pequeno porte, se for o caso, será concedido o </w:t>
      </w:r>
      <w:r>
        <w:rPr>
          <w:rFonts w:cs="Arial" w:ascii="Verdana" w:hAnsi="Verdana"/>
          <w:color w:val="000000"/>
          <w:sz w:val="22"/>
          <w:szCs w:val="22"/>
        </w:rPr>
        <w:t>prazo de no mínimo trinta minutos, para que qualquer licitante manifeste a intenção de recorrer, de forma motivada, isto é, indicando contra qual(is) decisão(ões) pretende recorrer e por quais motivos, em campo próprio do sistema.</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Havendo quem se manifeste, caberá ao Pregoeiro verificar a tempestividade e a existência de motivação da intenção de recorrer, para decidir se admite ou não o recurso, fundamentadamente.</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color w:val="000000"/>
          <w:sz w:val="22"/>
          <w:szCs w:val="22"/>
        </w:rPr>
        <w:t>Nesse momento o Pregoeiro não adentrará no mérito recursal, mas apenas verificará as condições de admissibilidade do recurso.</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A falta de manifestação motivada do licitante quanto à intenção de recorrer importará a decadência desse direito.</w:t>
      </w:r>
    </w:p>
    <w:p>
      <w:pPr>
        <w:pStyle w:val="Normal"/>
        <w:widowControl/>
        <w:numPr>
          <w:ilvl w:val="2"/>
          <w:numId w:val="2"/>
        </w:numPr>
        <w:tabs>
          <w:tab w:val="clear" w:pos="720"/>
          <w:tab w:val="left" w:pos="85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 xml:space="preserve">Uma vez admitido </w:t>
      </w:r>
      <w:r>
        <w:rPr>
          <w:rFonts w:cs="Arial" w:ascii="Verdana" w:hAnsi="Verdana"/>
          <w:color w:val="000000"/>
          <w:sz w:val="22"/>
          <w:szCs w:val="22"/>
        </w:rPr>
        <w:t>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O acolhimento do recurso invalida tão somente os atos insuscetíveis de aproveitamento.</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Os autos do processo permanecerão com vista franqueada aos interessados, no endereço constante neste Edital.</w:t>
      </w:r>
    </w:p>
    <w:p>
      <w:pPr>
        <w:pStyle w:val="Nivel01"/>
        <w:numPr>
          <w:ilvl w:val="0"/>
          <w:numId w:val="2"/>
        </w:numPr>
        <w:ind w:left="0" w:hanging="0"/>
        <w:rPr>
          <w:rFonts w:ascii="Verdana" w:hAnsi="Verdana"/>
          <w:sz w:val="22"/>
          <w:szCs w:val="22"/>
        </w:rPr>
      </w:pPr>
      <w:r>
        <w:rPr>
          <w:rFonts w:cs="Arial" w:ascii="Verdana" w:hAnsi="Verdana"/>
          <w:sz w:val="22"/>
          <w:szCs w:val="22"/>
          <w:lang w:eastAsia="en-US"/>
        </w:rPr>
        <w:t>DA REABERTURA DA SESSÃO PÚBLICA</w:t>
      </w:r>
    </w:p>
    <w:p>
      <w:pPr>
        <w:pStyle w:val="Nivel01"/>
        <w:keepNext w:val="false"/>
        <w:keepLines w:val="false"/>
        <w:widowControl/>
        <w:numPr>
          <w:ilvl w:val="1"/>
          <w:numId w:val="2"/>
        </w:numPr>
        <w:bidi w:val="0"/>
        <w:spacing w:lineRule="auto" w:line="276" w:before="120" w:after="120"/>
        <w:ind w:left="0" w:right="0" w:hanging="0"/>
        <w:jc w:val="both"/>
        <w:rPr>
          <w:rFonts w:ascii="Verdana" w:hAnsi="Verdana"/>
          <w:sz w:val="22"/>
          <w:szCs w:val="22"/>
        </w:rPr>
      </w:pPr>
      <w:r>
        <w:rPr>
          <w:rFonts w:eastAsia="" w:cs="Arial" w:ascii="Verdana" w:hAnsi="Verdana" w:eastAsiaTheme="minorEastAsia"/>
          <w:b w:val="false"/>
          <w:bCs w:val="false"/>
          <w:color w:val="auto"/>
          <w:sz w:val="22"/>
          <w:szCs w:val="22"/>
        </w:rPr>
        <w:t>A sessão pública poderá ser reaberta:</w:t>
      </w:r>
    </w:p>
    <w:p>
      <w:pPr>
        <w:pStyle w:val="Nivel01"/>
        <w:keepNext w:val="false"/>
        <w:keepLines w:val="false"/>
        <w:widowControl/>
        <w:numPr>
          <w:ilvl w:val="2"/>
          <w:numId w:val="2"/>
        </w:numPr>
        <w:tabs>
          <w:tab w:val="left" w:pos="567" w:leader="none"/>
          <w:tab w:val="left" w:pos="850" w:leader="none"/>
        </w:tabs>
        <w:bidi w:val="0"/>
        <w:spacing w:lineRule="auto" w:line="276" w:before="120" w:after="120"/>
        <w:ind w:left="0" w:right="0" w:hanging="0"/>
        <w:jc w:val="both"/>
        <w:rPr>
          <w:rFonts w:ascii="Verdana" w:hAnsi="Verdana"/>
          <w:sz w:val="22"/>
          <w:szCs w:val="22"/>
        </w:rPr>
      </w:pPr>
      <w:r>
        <w:rPr>
          <w:rFonts w:eastAsia="" w:cs="Arial" w:ascii="Verdana" w:hAnsi="Verdana" w:eastAsiaTheme="minorEastAsia"/>
          <w:b w:val="false"/>
          <w:bCs w:val="false"/>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widowControl/>
        <w:numPr>
          <w:ilvl w:val="2"/>
          <w:numId w:val="2"/>
        </w:numPr>
        <w:tabs>
          <w:tab w:val="left" w:pos="567" w:leader="none"/>
          <w:tab w:val="left" w:pos="850" w:leader="none"/>
        </w:tabs>
        <w:bidi w:val="0"/>
        <w:spacing w:lineRule="auto" w:line="276" w:before="120" w:after="120"/>
        <w:ind w:left="0" w:right="0" w:hanging="0"/>
        <w:jc w:val="both"/>
        <w:rPr>
          <w:rFonts w:ascii="Verdana" w:hAnsi="Verdana"/>
          <w:sz w:val="22"/>
          <w:szCs w:val="22"/>
        </w:rPr>
      </w:pPr>
      <w:r>
        <w:rPr>
          <w:rFonts w:eastAsia="" w:cs="Arial" w:ascii="Verdana" w:hAnsi="Verdana" w:eastAsiaTheme="minorEastAsia"/>
          <w:b w:val="false"/>
          <w:bCs w:val="false"/>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widowControl/>
        <w:numPr>
          <w:ilvl w:val="1"/>
          <w:numId w:val="2"/>
        </w:numPr>
        <w:bidi w:val="0"/>
        <w:spacing w:lineRule="auto" w:line="276" w:before="120" w:after="120"/>
        <w:ind w:left="0" w:right="0" w:hanging="0"/>
        <w:jc w:val="both"/>
        <w:rPr>
          <w:rFonts w:ascii="Verdana" w:hAnsi="Verdana"/>
          <w:sz w:val="22"/>
          <w:szCs w:val="22"/>
        </w:rPr>
      </w:pPr>
      <w:r>
        <w:rPr>
          <w:rFonts w:eastAsia="" w:cs="Arial" w:ascii="Verdana" w:hAnsi="Verdana" w:eastAsiaTheme="minorEastAsia"/>
          <w:b w:val="false"/>
          <w:bCs w:val="false"/>
          <w:color w:val="auto"/>
          <w:sz w:val="22"/>
          <w:szCs w:val="22"/>
        </w:rPr>
        <w:t>Todos os licitantes remanescentes deverão ser convocados para acompanhar a sessão reaberta.</w:t>
      </w:r>
    </w:p>
    <w:p>
      <w:pPr>
        <w:pStyle w:val="Nivel01"/>
        <w:keepNext w:val="false"/>
        <w:keepLines w:val="false"/>
        <w:widowControl/>
        <w:numPr>
          <w:ilvl w:val="2"/>
          <w:numId w:val="2"/>
        </w:numPr>
        <w:tabs>
          <w:tab w:val="left" w:pos="567" w:leader="none"/>
          <w:tab w:val="left" w:pos="850" w:leader="none"/>
        </w:tabs>
        <w:bidi w:val="0"/>
        <w:spacing w:lineRule="auto" w:line="276" w:before="120" w:after="120"/>
        <w:ind w:left="0" w:right="0" w:hanging="0"/>
        <w:jc w:val="both"/>
        <w:rPr>
          <w:rFonts w:ascii="Verdana" w:hAnsi="Verdana"/>
          <w:sz w:val="22"/>
          <w:szCs w:val="22"/>
        </w:rPr>
      </w:pPr>
      <w:r>
        <w:rPr>
          <w:rFonts w:eastAsia="" w:cs="Arial" w:ascii="Verdana" w:hAnsi="Verdana" w:eastAsiaTheme="minorEastAsia"/>
          <w:b w:val="false"/>
          <w:bCs w:val="false"/>
          <w:color w:val="auto"/>
          <w:sz w:val="22"/>
          <w:szCs w:val="22"/>
        </w:rPr>
        <w:t>A convocação se dará por meio do sistema eletrônico (“chat”), e-mail, de acordo com a fase do procedimento licitatório.</w:t>
      </w:r>
    </w:p>
    <w:p>
      <w:pPr>
        <w:pStyle w:val="Nivel01"/>
        <w:widowControl/>
        <w:numPr>
          <w:ilvl w:val="2"/>
          <w:numId w:val="2"/>
        </w:numPr>
        <w:tabs>
          <w:tab w:val="left" w:pos="567" w:leader="none"/>
          <w:tab w:val="left" w:pos="850" w:leader="none"/>
        </w:tabs>
        <w:bidi w:val="0"/>
        <w:spacing w:lineRule="auto" w:line="276" w:before="120" w:after="120"/>
        <w:ind w:left="0" w:right="0" w:hanging="0"/>
        <w:jc w:val="both"/>
        <w:rPr>
          <w:rFonts w:ascii="Verdana" w:hAnsi="Verdana"/>
          <w:sz w:val="22"/>
          <w:szCs w:val="22"/>
        </w:rPr>
      </w:pPr>
      <w:r>
        <w:rPr>
          <w:rFonts w:eastAsia="" w:cs="Arial" w:ascii="Verdana" w:hAnsi="Verdana" w:eastAsiaTheme="minorEastAsia"/>
          <w:b w:val="false"/>
          <w:bCs w:val="false"/>
          <w:color w:val="auto"/>
          <w:sz w:val="22"/>
          <w:szCs w:val="22"/>
        </w:rPr>
        <w:t>A convocação feita por e-mail dar-se-á de acordo com os dados contidos no SICAF, sendo responsabilidade do licitante manter seus dados cadastrais atualizados.</w:t>
      </w:r>
    </w:p>
    <w:p>
      <w:pPr>
        <w:pStyle w:val="Nivel01"/>
        <w:numPr>
          <w:ilvl w:val="0"/>
          <w:numId w:val="2"/>
        </w:numPr>
        <w:ind w:left="0" w:hanging="0"/>
        <w:rPr>
          <w:rFonts w:ascii="Verdana" w:hAnsi="Verdana"/>
          <w:sz w:val="22"/>
          <w:szCs w:val="22"/>
        </w:rPr>
      </w:pPr>
      <w:r>
        <w:rPr>
          <w:rFonts w:cs="Arial" w:ascii="Verdana" w:hAnsi="Verdana"/>
          <w:sz w:val="22"/>
          <w:szCs w:val="22"/>
        </w:rPr>
        <w:t xml:space="preserve">DA ADJUDICAÇÃO E HOMOLOGAÇÃO </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O objeto da licitação será adjudicado ao licitante declarado vencedor, por ato do Pregoeiro, caso não haja interposição de recurso, ou pela autoridade competente, após a regular decisão dos recursos apresentados.</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 xml:space="preserve">Após a fase recursal, constatada a regularidade dos atos praticados, a autoridade competente homologará o procedimento licitatório. </w:t>
      </w:r>
    </w:p>
    <w:p>
      <w:pPr>
        <w:pStyle w:val="Nivel01"/>
        <w:numPr>
          <w:ilvl w:val="0"/>
          <w:numId w:val="2"/>
        </w:numPr>
        <w:ind w:left="0" w:hanging="0"/>
        <w:rPr>
          <w:rFonts w:ascii="Verdana" w:hAnsi="Verdana"/>
          <w:sz w:val="22"/>
          <w:szCs w:val="22"/>
        </w:rPr>
      </w:pPr>
      <w:r>
        <w:rPr>
          <w:rFonts w:cs="Arial" w:ascii="Verdana" w:hAnsi="Verdana"/>
          <w:color w:val="auto"/>
          <w:sz w:val="22"/>
          <w:szCs w:val="22"/>
        </w:rPr>
        <w:t xml:space="preserve">DA GARANTIA DE EXECUÇÃO </w:t>
      </w:r>
    </w:p>
    <w:p>
      <w:pPr>
        <w:pStyle w:val="ListParagraph"/>
        <w:widowControl/>
        <w:numPr>
          <w:ilvl w:val="1"/>
          <w:numId w:val="2"/>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Não haverá exigência de garantia de execução para a presente contratação.</w:t>
      </w:r>
    </w:p>
    <w:p>
      <w:pPr>
        <w:pStyle w:val="ListParagraph"/>
        <w:widowControl/>
        <w:numPr>
          <w:ilvl w:val="2"/>
          <w:numId w:val="2"/>
        </w:numPr>
        <w:tabs>
          <w:tab w:val="clear" w:pos="720"/>
          <w:tab w:val="left" w:pos="850" w:leader="none"/>
        </w:tabs>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A eventual e futura contratação não trata riscos à administração visto que se trata de registro de preços para aquisição eventual de bens, que ocorrerá, após a emissão da nota de empenho, em entrega única; e</w:t>
      </w:r>
    </w:p>
    <w:p>
      <w:pPr>
        <w:pStyle w:val="ListParagraph"/>
        <w:widowControl/>
        <w:numPr>
          <w:ilvl w:val="2"/>
          <w:numId w:val="2"/>
        </w:numPr>
        <w:tabs>
          <w:tab w:val="clear" w:pos="720"/>
          <w:tab w:val="left" w:pos="850" w:leader="none"/>
        </w:tabs>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O pagamento à contratada só ocorrerá após o recebimento definitivo e o atendimento a todas as condições previstas no Edital.</w:t>
      </w:r>
    </w:p>
    <w:p>
      <w:pPr>
        <w:pStyle w:val="ListParagraph"/>
        <w:widowControl/>
        <w:numPr>
          <w:ilvl w:val="0"/>
          <w:numId w:val="0"/>
        </w:numPr>
        <w:tabs>
          <w:tab w:val="clear" w:pos="720"/>
          <w:tab w:val="left" w:pos="850" w:leader="none"/>
        </w:tabs>
        <w:bidi w:val="0"/>
        <w:spacing w:lineRule="auto" w:line="276" w:before="120" w:after="120"/>
        <w:ind w:left="1638" w:right="0" w:hanging="0"/>
        <w:contextualSpacing/>
        <w:jc w:val="both"/>
        <w:rPr>
          <w:rFonts w:ascii="Verdana" w:hAnsi="Verdana"/>
          <w:sz w:val="22"/>
          <w:szCs w:val="22"/>
        </w:rPr>
      </w:pPr>
      <w:r>
        <w:rPr>
          <w:rFonts w:ascii="Verdana" w:hAnsi="Verdana"/>
          <w:sz w:val="22"/>
          <w:szCs w:val="22"/>
        </w:rPr>
      </w:r>
    </w:p>
    <w:p>
      <w:pPr>
        <w:pStyle w:val="ListParagraph"/>
        <w:widowControl/>
        <w:numPr>
          <w:ilvl w:val="0"/>
          <w:numId w:val="0"/>
        </w:numPr>
        <w:tabs>
          <w:tab w:val="clear" w:pos="720"/>
          <w:tab w:val="left" w:pos="850" w:leader="none"/>
        </w:tabs>
        <w:bidi w:val="0"/>
        <w:spacing w:lineRule="auto" w:line="276" w:before="120" w:after="120"/>
        <w:ind w:left="0" w:right="0" w:hanging="0"/>
        <w:contextualSpacing/>
        <w:jc w:val="both"/>
        <w:rPr/>
      </w:pPr>
      <w:r>
        <w:rPr>
          <w:rFonts w:cs="Arial" w:ascii="Verdana" w:hAnsi="Verdana"/>
          <w:b/>
          <w:bCs/>
          <w:color w:val="auto"/>
          <w:sz w:val="22"/>
          <w:szCs w:val="22"/>
        </w:rPr>
        <w:t>15 DA ATA DE REGISTRO DE PREÇOS</w:t>
      </w:r>
    </w:p>
    <w:p>
      <w:pPr>
        <w:pStyle w:val="ListParagraph"/>
        <w:widowControl/>
        <w:numPr>
          <w:ilvl w:val="0"/>
          <w:numId w:val="0"/>
        </w:numPr>
        <w:tabs>
          <w:tab w:val="clear" w:pos="720"/>
          <w:tab w:val="left" w:pos="850" w:leader="none"/>
        </w:tabs>
        <w:bidi w:val="0"/>
        <w:spacing w:lineRule="auto" w:line="276" w:before="120" w:after="120"/>
        <w:ind w:left="0" w:right="0" w:hanging="0"/>
        <w:contextualSpacing/>
        <w:jc w:val="both"/>
        <w:rPr/>
      </w:pPr>
      <w:r>
        <w:rPr>
          <w:rFonts w:cs="Arial" w:ascii="Verdana" w:hAnsi="Verdana"/>
          <w:b/>
          <w:bCs/>
          <w:color w:val="auto"/>
          <w:sz w:val="22"/>
          <w:szCs w:val="22"/>
        </w:rPr>
        <w:t xml:space="preserve">15.1 </w:t>
      </w:r>
      <w:r>
        <w:rPr>
          <w:rFonts w:cs="Arial" w:ascii="Verdana" w:hAnsi="Verdana"/>
          <w:b w:val="false"/>
          <w:color w:val="auto"/>
          <w:sz w:val="22"/>
          <w:szCs w:val="22"/>
        </w:rPr>
        <w:t>Homologado o resultado da licitação, terá o adjudicatário o prazo de 05 (</w:t>
      </w:r>
      <w:r>
        <w:rPr>
          <w:rFonts w:eastAsia="ＭＳ ゴシック" w:cs="Arial" w:ascii="Verdana" w:hAnsi="Verdana"/>
          <w:b w:val="false"/>
          <w:bCs/>
          <w:color w:val="auto"/>
          <w:sz w:val="22"/>
          <w:szCs w:val="22"/>
          <w:lang w:eastAsia="pt-BR"/>
        </w:rPr>
        <w:t>cinco</w:t>
      </w:r>
      <w:r>
        <w:rPr>
          <w:rFonts w:cs="Arial" w:ascii="Verdana" w:hAnsi="Verdana"/>
          <w:b w:val="false"/>
          <w:color w:val="auto"/>
          <w:sz w:val="22"/>
          <w:szCs w:val="22"/>
        </w:rPr>
        <w:t>) dias, contados a partir da data de sua convocação, para assinar a Ata de Registro de Preços, cujo prazo de validade encontra-se nela fixado, sob pena de decair do direito à contratação, sem prejuízo das sanções previstas neste Edital.</w:t>
      </w:r>
    </w:p>
    <w:p>
      <w:pPr>
        <w:pStyle w:val="ListParagraph"/>
        <w:widowControl/>
        <w:numPr>
          <w:ilvl w:val="0"/>
          <w:numId w:val="0"/>
        </w:numPr>
        <w:tabs>
          <w:tab w:val="clear" w:pos="720"/>
          <w:tab w:val="left" w:pos="850" w:leader="none"/>
        </w:tabs>
        <w:bidi w:val="0"/>
        <w:spacing w:lineRule="auto" w:line="276" w:before="120" w:after="120"/>
        <w:ind w:left="0" w:right="0" w:hanging="0"/>
        <w:contextualSpacing/>
        <w:jc w:val="both"/>
        <w:rPr/>
      </w:pPr>
      <w:r>
        <w:rPr>
          <w:rFonts w:cs="Arial" w:ascii="Verdana" w:hAnsi="Verdana"/>
          <w:b/>
          <w:bCs/>
          <w:color w:val="auto"/>
          <w:sz w:val="22"/>
          <w:szCs w:val="22"/>
        </w:rPr>
        <w:t xml:space="preserve">15.2 </w:t>
      </w:r>
      <w:r>
        <w:rPr>
          <w:rFonts w:cs="Arial" w:ascii="Verdana" w:hAnsi="Verdana"/>
          <w:b w:val="false"/>
          <w:color w:val="auto"/>
          <w:sz w:val="22"/>
          <w:szCs w:val="22"/>
        </w:rPr>
        <w:t xml:space="preserve">Alternativamente à convocação para comparecer perante o órgão ou entidade para a assinatura da Ata de Registro de Preços, a Administração poderá encaminhá-la para assinatura, </w:t>
      </w:r>
      <w:r>
        <w:rPr>
          <w:rFonts w:cs="Arial" w:ascii="Verdana" w:hAnsi="Verdana"/>
          <w:b w:val="false"/>
          <w:bCs w:val="false"/>
          <w:iCs/>
          <w:color w:val="auto"/>
          <w:sz w:val="22"/>
          <w:szCs w:val="22"/>
        </w:rPr>
        <w:t>mediante correspondência postal com aviso de recebimento (AR) ou meio eletrônico, para que seja assinada e devolvida no prazo de 05 (cinco) dias, a contar da data de seu recebimento.</w:t>
      </w:r>
    </w:p>
    <w:p>
      <w:pPr>
        <w:pStyle w:val="ListParagraph"/>
        <w:widowControl/>
        <w:numPr>
          <w:ilvl w:val="0"/>
          <w:numId w:val="0"/>
        </w:numPr>
        <w:tabs>
          <w:tab w:val="clear" w:pos="720"/>
          <w:tab w:val="left" w:pos="850" w:leader="none"/>
        </w:tabs>
        <w:bidi w:val="0"/>
        <w:spacing w:lineRule="auto" w:line="276" w:before="120" w:after="120"/>
        <w:ind w:left="0" w:right="0" w:hanging="0"/>
        <w:contextualSpacing/>
        <w:jc w:val="both"/>
        <w:rPr/>
      </w:pPr>
      <w:r>
        <w:rPr>
          <w:rFonts w:cs="Arial" w:ascii="Verdana" w:hAnsi="Verdana"/>
          <w:b/>
          <w:bCs/>
          <w:iCs/>
          <w:color w:val="auto"/>
          <w:sz w:val="22"/>
          <w:szCs w:val="22"/>
        </w:rPr>
        <w:t xml:space="preserve">15.3 </w:t>
      </w:r>
      <w:r>
        <w:rPr>
          <w:rFonts w:cs="Arial" w:ascii="Verdana" w:hAnsi="Verdana"/>
          <w:b w:val="false"/>
          <w:color w:val="auto"/>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Nivel01"/>
        <w:widowControl/>
        <w:numPr>
          <w:ilvl w:val="0"/>
          <w:numId w:val="0"/>
        </w:numPr>
        <w:bidi w:val="0"/>
        <w:spacing w:before="240" w:after="0"/>
        <w:ind w:left="0" w:right="0" w:hanging="0"/>
        <w:jc w:val="both"/>
        <w:rPr>
          <w:rFonts w:ascii="Verdana" w:hAnsi="Verdana"/>
          <w:sz w:val="22"/>
          <w:szCs w:val="22"/>
        </w:rPr>
      </w:pPr>
      <w:r>
        <w:rPr>
          <w:rFonts w:cs="Arial" w:ascii="Verdana" w:hAnsi="Verdana"/>
          <w:b/>
          <w:bCs/>
          <w:color w:val="auto"/>
          <w:sz w:val="22"/>
          <w:szCs w:val="22"/>
        </w:rPr>
        <w:t xml:space="preserve">15.4 </w:t>
      </w:r>
      <w:r>
        <w:rPr>
          <w:rFonts w:cs="Arial" w:ascii="Verdana" w:hAnsi="Verdana"/>
          <w:b w:val="false"/>
          <w:color w:val="auto"/>
          <w:sz w:val="22"/>
          <w:szCs w:val="22"/>
        </w:rPr>
        <w:t xml:space="preserve">Serão formalizadas tantas Atas de Registro de Preços quanto necessárias para o registro de todos os itens constantes no </w:t>
      </w:r>
      <w:r>
        <w:rPr>
          <w:rFonts w:eastAsia="" w:cs="Arial" w:ascii="Verdana" w:hAnsi="Verdana"/>
          <w:b w:val="false"/>
          <w:color w:val="000000"/>
          <w:kern w:val="0"/>
          <w:sz w:val="22"/>
          <w:szCs w:val="22"/>
          <w:lang w:val="pt-BR" w:eastAsia="en-US" w:bidi="ar-SA"/>
        </w:rPr>
        <w:t>Anexo II – Minuta da Ata</w:t>
      </w:r>
      <w:r>
        <w:rPr>
          <w:rFonts w:cs="Arial" w:ascii="Verdana" w:hAnsi="Verdana"/>
          <w:b w:val="false"/>
          <w:color w:val="auto"/>
          <w:sz w:val="22"/>
          <w:szCs w:val="22"/>
        </w:rPr>
        <w:t>, com a indicação do licitante vencedor, a descrição do(s) item(ns), as respectivas quantidades, preços registrados e demais condições.</w:t>
      </w:r>
    </w:p>
    <w:p>
      <w:pPr>
        <w:pStyle w:val="Nivel01"/>
        <w:keepNext w:val="true"/>
        <w:keepLines/>
        <w:widowControl/>
        <w:numPr>
          <w:ilvl w:val="0"/>
          <w:numId w:val="0"/>
        </w:numPr>
        <w:tabs>
          <w:tab w:val="clear" w:pos="567"/>
          <w:tab w:val="left" w:pos="450" w:leader="none"/>
        </w:tabs>
        <w:bidi w:val="0"/>
        <w:spacing w:before="240" w:after="0"/>
        <w:ind w:left="0" w:right="0" w:hanging="0"/>
        <w:jc w:val="both"/>
        <w:rPr>
          <w:rFonts w:ascii="Verdana" w:hAnsi="Verdana"/>
          <w:sz w:val="22"/>
          <w:szCs w:val="22"/>
        </w:rPr>
      </w:pPr>
      <w:r>
        <w:rPr>
          <w:rFonts w:cs="Arial" w:ascii="Verdana" w:hAnsi="Verdana"/>
          <w:b/>
          <w:bCs/>
          <w:color w:val="auto"/>
          <w:sz w:val="22"/>
          <w:szCs w:val="22"/>
        </w:rPr>
        <w:t xml:space="preserve">15.4.1 </w:t>
      </w:r>
      <w:r>
        <w:rPr>
          <w:rFonts w:cs="Arial" w:ascii="Verdana" w:hAnsi="Verdana"/>
          <w:b w:val="false"/>
          <w:color w:val="auto"/>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pPr>
        <w:pStyle w:val="Nivel01"/>
        <w:numPr>
          <w:ilvl w:val="0"/>
          <w:numId w:val="0"/>
        </w:numPr>
        <w:ind w:left="0" w:hanging="0"/>
        <w:rPr>
          <w:rFonts w:ascii="Verdana" w:hAnsi="Verdana"/>
          <w:sz w:val="22"/>
          <w:szCs w:val="22"/>
        </w:rPr>
      </w:pPr>
      <w:r>
        <w:rPr>
          <w:rFonts w:cs="Arial" w:ascii="Verdana" w:hAnsi="Verdana"/>
          <w:b/>
          <w:bCs/>
          <w:sz w:val="22"/>
          <w:szCs w:val="22"/>
        </w:rPr>
        <w:t xml:space="preserve">16. </w:t>
      </w:r>
      <w:r>
        <w:rPr>
          <w:rFonts w:cs="Arial" w:ascii="Verdana" w:hAnsi="Verdana"/>
          <w:sz w:val="22"/>
          <w:szCs w:val="22"/>
        </w:rPr>
        <w:t>DO REAJUSTAMENTO EM SENTIDO GERAL</w:t>
      </w:r>
    </w:p>
    <w:p>
      <w:pPr>
        <w:pStyle w:val="ListParagraph"/>
        <w:widowControl/>
        <w:bidi w:val="0"/>
        <w:spacing w:lineRule="auto" w:line="276" w:before="120" w:after="120"/>
        <w:ind w:left="0" w:right="0" w:hanging="0"/>
        <w:contextualSpacing/>
        <w:jc w:val="both"/>
        <w:rPr>
          <w:rFonts w:ascii="Verdana" w:hAnsi="Verdana"/>
          <w:sz w:val="22"/>
          <w:szCs w:val="22"/>
        </w:rPr>
      </w:pPr>
      <w:r>
        <w:rPr>
          <w:rFonts w:cs="Arial" w:ascii="Verdana" w:hAnsi="Verdana"/>
          <w:b/>
          <w:bCs/>
          <w:color w:val="000000" w:themeColor="text1"/>
          <w:sz w:val="22"/>
          <w:szCs w:val="22"/>
        </w:rPr>
        <w:t>16.1</w:t>
      </w:r>
      <w:r>
        <w:rPr>
          <w:rFonts w:cs="Arial" w:ascii="Verdana" w:hAnsi="Verdana"/>
          <w:color w:val="000000" w:themeColor="text1"/>
          <w:sz w:val="22"/>
          <w:szCs w:val="22"/>
        </w:rPr>
        <w:t xml:space="preserve"> As regras </w:t>
      </w:r>
      <w:r>
        <w:rPr>
          <w:rFonts w:eastAsia="Arial" w:cs="Arial" w:ascii="Verdana" w:hAnsi="Verdana"/>
          <w:color w:val="000000" w:themeColor="text1"/>
          <w:sz w:val="22"/>
          <w:szCs w:val="22"/>
        </w:rPr>
        <w:t>acerca</w:t>
      </w:r>
      <w:r>
        <w:rPr>
          <w:rFonts w:cs="Arial" w:ascii="Verdana" w:hAnsi="Verdana"/>
          <w:color w:val="000000" w:themeColor="text1"/>
          <w:sz w:val="22"/>
          <w:szCs w:val="22"/>
        </w:rPr>
        <w:t xml:space="preserve"> do reajustamento em sentido geral do valor contratual são as estabelecidas no </w:t>
      </w:r>
      <w:r>
        <w:rPr>
          <w:rFonts w:eastAsia="" w:cs="Arial" w:ascii="Verdana" w:hAnsi="Verdana"/>
          <w:color w:val="000000"/>
          <w:kern w:val="0"/>
          <w:sz w:val="22"/>
          <w:szCs w:val="22"/>
          <w:lang w:val="pt-BR" w:eastAsia="en-US" w:bidi="ar-SA"/>
        </w:rPr>
        <w:t>Anexo II – Minuta da Ata</w:t>
      </w:r>
      <w:r>
        <w:rPr>
          <w:rFonts w:cs="Arial" w:ascii="Verdana" w:hAnsi="Verdana"/>
          <w:color w:val="000000" w:themeColor="text1"/>
          <w:sz w:val="22"/>
          <w:szCs w:val="22"/>
        </w:rPr>
        <w:t>.</w:t>
      </w:r>
    </w:p>
    <w:p>
      <w:pPr>
        <w:pStyle w:val="Nivel01"/>
        <w:numPr>
          <w:ilvl w:val="0"/>
          <w:numId w:val="0"/>
        </w:numPr>
        <w:ind w:left="0" w:hanging="0"/>
        <w:rPr>
          <w:rFonts w:ascii="Verdana" w:hAnsi="Verdana"/>
          <w:sz w:val="22"/>
          <w:szCs w:val="22"/>
        </w:rPr>
      </w:pPr>
      <w:r>
        <w:rPr>
          <w:rFonts w:cs="Arial" w:ascii="Verdana" w:hAnsi="Verdana"/>
          <w:b/>
          <w:bCs/>
          <w:sz w:val="22"/>
          <w:szCs w:val="22"/>
        </w:rPr>
        <w:t xml:space="preserve">17. </w:t>
      </w:r>
      <w:r>
        <w:rPr>
          <w:rFonts w:cs="Arial" w:ascii="Verdana" w:hAnsi="Verdana"/>
          <w:sz w:val="22"/>
          <w:szCs w:val="22"/>
        </w:rPr>
        <w:t>DO RECEBIMENTO DO OBJETO E DA FISCALIZAÇÃO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b/>
          <w:bCs/>
          <w:color w:val="000000"/>
          <w:sz w:val="22"/>
          <w:szCs w:val="22"/>
          <w:lang w:eastAsia="en-US"/>
        </w:rPr>
        <w:t>17.1</w:t>
      </w:r>
      <w:r>
        <w:rPr>
          <w:rFonts w:cs="Arial" w:ascii="Verdana" w:hAnsi="Verdana"/>
          <w:color w:val="000000"/>
          <w:sz w:val="22"/>
          <w:szCs w:val="22"/>
          <w:lang w:eastAsia="en-US"/>
        </w:rPr>
        <w:t xml:space="preserve"> Os critérios de recebimento e aceitação do objeto e de fiscalização estão previstos no </w:t>
      </w:r>
      <w:r>
        <w:rPr>
          <w:rFonts w:eastAsia="" w:cs="Arial" w:ascii="Verdana" w:hAnsi="Verdana"/>
          <w:color w:val="000000"/>
          <w:kern w:val="0"/>
          <w:sz w:val="22"/>
          <w:szCs w:val="22"/>
          <w:lang w:val="pt-BR" w:eastAsia="en-US" w:bidi="ar-SA"/>
        </w:rPr>
        <w:t>Anexo II – Minuta da Ata</w:t>
      </w:r>
      <w:r>
        <w:rPr>
          <w:rFonts w:cs="Arial" w:ascii="Verdana" w:hAnsi="Verdana"/>
          <w:color w:val="000000"/>
          <w:sz w:val="22"/>
          <w:szCs w:val="22"/>
          <w:lang w:eastAsia="en-US"/>
        </w:rPr>
        <w:t>.</w:t>
      </w:r>
    </w:p>
    <w:p>
      <w:pPr>
        <w:pStyle w:val="Nivel01"/>
        <w:numPr>
          <w:ilvl w:val="0"/>
          <w:numId w:val="0"/>
        </w:numPr>
        <w:ind w:left="0" w:hanging="0"/>
        <w:rPr>
          <w:rFonts w:ascii="Verdana" w:hAnsi="Verdana"/>
          <w:sz w:val="22"/>
          <w:szCs w:val="22"/>
        </w:rPr>
      </w:pPr>
      <w:r>
        <w:rPr>
          <w:rFonts w:cs="Arial" w:ascii="Verdana" w:hAnsi="Verdana"/>
          <w:sz w:val="22"/>
          <w:szCs w:val="22"/>
          <w:lang w:eastAsia="en-US"/>
        </w:rPr>
        <w:t>18. DAS OBRIGAÇÕES DA CONTRATANTE E DA CONTRATADA</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b/>
          <w:bCs/>
          <w:color w:val="000000"/>
          <w:sz w:val="22"/>
          <w:szCs w:val="22"/>
          <w:lang w:eastAsia="en-US"/>
        </w:rPr>
        <w:t xml:space="preserve">18.1 </w:t>
      </w:r>
      <w:r>
        <w:rPr>
          <w:rFonts w:cs="Arial" w:ascii="Verdana" w:hAnsi="Verdana"/>
          <w:color w:val="000000"/>
          <w:sz w:val="22"/>
          <w:szCs w:val="22"/>
          <w:lang w:eastAsia="en-US"/>
        </w:rPr>
        <w:t xml:space="preserve">As obrigações da Contratante e da Contratada são as estabelecidas no </w:t>
      </w:r>
      <w:r>
        <w:rPr>
          <w:rFonts w:eastAsia="" w:cs="Arial" w:ascii="Verdana" w:hAnsi="Verdana"/>
          <w:color w:val="000000"/>
          <w:kern w:val="0"/>
          <w:sz w:val="22"/>
          <w:szCs w:val="22"/>
          <w:lang w:val="pt-BR" w:eastAsia="en-US" w:bidi="ar-SA"/>
        </w:rPr>
        <w:t>Anexo II – Minuta da Ata</w:t>
      </w:r>
      <w:r>
        <w:rPr>
          <w:rFonts w:cs="Arial" w:ascii="Verdana" w:hAnsi="Verdana"/>
          <w:color w:val="000000"/>
          <w:sz w:val="22"/>
          <w:szCs w:val="22"/>
          <w:lang w:eastAsia="en-US"/>
        </w:rPr>
        <w:t>.</w:t>
      </w:r>
    </w:p>
    <w:p>
      <w:pPr>
        <w:pStyle w:val="Nivel01"/>
        <w:numPr>
          <w:ilvl w:val="0"/>
          <w:numId w:val="0"/>
        </w:numPr>
        <w:ind w:left="0" w:hanging="0"/>
        <w:rPr>
          <w:rFonts w:ascii="Verdana" w:hAnsi="Verdana"/>
          <w:sz w:val="22"/>
          <w:szCs w:val="22"/>
        </w:rPr>
      </w:pPr>
      <w:r>
        <w:rPr>
          <w:rFonts w:cs="Arial" w:ascii="Verdana" w:hAnsi="Verdana"/>
          <w:b/>
          <w:bCs/>
          <w:sz w:val="22"/>
          <w:szCs w:val="22"/>
        </w:rPr>
        <w:t xml:space="preserve">19. </w:t>
      </w:r>
      <w:r>
        <w:rPr>
          <w:rFonts w:cs="Arial" w:ascii="Verdana" w:hAnsi="Verdana"/>
          <w:sz w:val="22"/>
          <w:szCs w:val="22"/>
        </w:rPr>
        <w:t>DO PAGAMENTO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b/>
          <w:bCs/>
          <w:color w:val="000000"/>
          <w:sz w:val="22"/>
          <w:szCs w:val="22"/>
          <w:lang w:eastAsia="en-US"/>
        </w:rPr>
        <w:t xml:space="preserve">19.1 </w:t>
      </w:r>
      <w:r>
        <w:rPr>
          <w:rFonts w:cs="Arial" w:ascii="Verdana" w:hAnsi="Verdana"/>
          <w:color w:val="000000"/>
          <w:sz w:val="22"/>
          <w:szCs w:val="22"/>
          <w:lang w:eastAsia="en-US"/>
        </w:rPr>
        <w:t xml:space="preserve">As regras acerca do pagamento são as estabelecidas no </w:t>
      </w:r>
      <w:r>
        <w:rPr>
          <w:rFonts w:eastAsia="" w:cs="Arial" w:ascii="Verdana" w:hAnsi="Verdana"/>
          <w:color w:val="000000"/>
          <w:kern w:val="0"/>
          <w:sz w:val="22"/>
          <w:szCs w:val="22"/>
          <w:lang w:val="pt-BR" w:eastAsia="en-US" w:bidi="ar-SA"/>
        </w:rPr>
        <w:t>Anexo II – Minuta da Ata</w:t>
      </w:r>
      <w:r>
        <w:rPr>
          <w:rFonts w:cs="Arial" w:ascii="Verdana" w:hAnsi="Verdana"/>
          <w:color w:val="000000"/>
          <w:sz w:val="22"/>
          <w:szCs w:val="22"/>
          <w:lang w:eastAsia="en-US"/>
        </w:rPr>
        <w:t>.</w:t>
      </w:r>
    </w:p>
    <w:p>
      <w:pPr>
        <w:pStyle w:val="Nivel01"/>
        <w:numPr>
          <w:ilvl w:val="0"/>
          <w:numId w:val="0"/>
        </w:numPr>
        <w:ind w:left="0" w:hanging="0"/>
        <w:rPr>
          <w:rFonts w:ascii="Verdana" w:hAnsi="Verdana"/>
          <w:sz w:val="22"/>
          <w:szCs w:val="22"/>
        </w:rPr>
      </w:pPr>
      <w:r>
        <w:rPr>
          <w:rFonts w:cs="Arial" w:ascii="Verdana" w:hAnsi="Verdana"/>
          <w:sz w:val="22"/>
          <w:szCs w:val="22"/>
        </w:rPr>
        <w:t>20. DAS SANÇÕES ADMINISTRATIVAS.</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b/>
          <w:bCs/>
          <w:sz w:val="22"/>
          <w:szCs w:val="22"/>
          <w:shd w:fill="FFFFFF" w:val="clear"/>
        </w:rPr>
        <w:t xml:space="preserve">20.1 </w:t>
      </w:r>
      <w:r>
        <w:rPr>
          <w:rFonts w:cs="Arial" w:ascii="Verdana" w:hAnsi="Verdana"/>
          <w:sz w:val="22"/>
          <w:szCs w:val="22"/>
          <w:shd w:fill="FFFFFF" w:val="clear"/>
        </w:rPr>
        <w:t xml:space="preserve">Comete infração administrativa, nos termos da Lei nº 10.520, de 2002, o licitante/adjudicatário que: </w:t>
      </w:r>
    </w:p>
    <w:p>
      <w:pPr>
        <w:pStyle w:val="Normal"/>
        <w:widowControl/>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20.1.1 Não assinar o termo de contrato ou aceitar/retirar o instrumento equivalente, quando convocado dentro do prazo de validade da proposta;</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20.1.2 Não assinar a ata de registro de preços, quando cabível;</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20.1.3 Apresentar documentação falsa;</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20.1.4 Deixar de entregar os documentos exigidos no certame;</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rPr>
        <w:t>20.1.5 Ensejar o retardamento da execução do objeto;</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20.1.6 Não mantiver a proposta;</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20.1.7 Cometer fraude fiscal;</w:t>
      </w:r>
    </w:p>
    <w:p>
      <w:pPr>
        <w:pStyle w:val="Normal"/>
        <w:widowControl/>
        <w:numPr>
          <w:ilvl w:val="0"/>
          <w:numId w:val="0"/>
        </w:numPr>
        <w:tabs>
          <w:tab w:val="clear" w:pos="720"/>
          <w:tab w:val="left" w:pos="850" w:leader="none"/>
          <w:tab w:val="left" w:pos="1440" w:leader="none"/>
        </w:tabs>
        <w:bidi w:val="0"/>
        <w:snapToGrid w:val="false"/>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20.1.8 Comportar-se de modo inidôneo;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b w:val="false"/>
          <w:bCs w:val="false"/>
          <w:color w:val="000000"/>
          <w:sz w:val="22"/>
          <w:szCs w:val="22"/>
        </w:rPr>
        <w:t xml:space="preserve">20.2 </w:t>
      </w:r>
      <w:r>
        <w:rPr>
          <w:rFonts w:cs="Arial" w:ascii="Verdana" w:hAnsi="Verdana"/>
          <w:color w:val="000000"/>
          <w:sz w:val="22"/>
          <w:szCs w:val="22"/>
        </w:rPr>
        <w:t>As sanções do item acima também se aplicam aos integrantes do cadastro de reserva, em pregão para registro de preços que, convocados, não honrarem o compromisso assumido injustificadamente.</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b w:val="false"/>
          <w:bCs w:val="false"/>
          <w:sz w:val="22"/>
          <w:szCs w:val="22"/>
          <w:shd w:fill="FFFFFF" w:val="clear"/>
        </w:rPr>
        <w:t xml:space="preserve">20.3 </w:t>
      </w:r>
      <w:r>
        <w:rPr>
          <w:rFonts w:cs="Arial" w:ascii="Verdana" w:hAnsi="Verdana"/>
          <w:sz w:val="22"/>
          <w:szCs w:val="22"/>
          <w:shd w:fill="FFFFFF" w:val="clear"/>
        </w:rPr>
        <w:t>Considera-se comportamento inidôneo, entre outros, a declaração falsa quanto às condições de participação, quanto ao enquadramento como ME/EPP ou o conluio entre os licitantes, em qualquer momento da licitação, mesmo após o encerramento da fase de lances.</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sz w:val="22"/>
          <w:szCs w:val="22"/>
          <w:shd w:fill="FFFFFF" w:val="clear"/>
        </w:rPr>
        <w:t xml:space="preserve">20.4 O licitante/adjudicatário que cometer qualquer das infrações discriminadas nos subitens anteriores ficará sujeito, sem prejuízo da responsabilidade civil e criminal, às seguintes sanções: </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shd w:fill="FFFFFF" w:val="clear"/>
        </w:rPr>
        <w:t>20.4.1 Advertência por faltas leves, assim entendidas como aquelas que não acarretarem prejuízos significativos ao objeto da contratação;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shd w:fill="FFFFFF" w:val="clear"/>
        </w:rPr>
        <w:t>20.4.2 Multa de 10% (dez por cento) sobre o valor estimado do(s) item(s) prejudicado(s) pela conduta do licitante;</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shd w:fill="FFFFFF" w:val="clear"/>
        </w:rPr>
        <w:t>20.4.3 Suspensão de licitar e impedimento de contratar com o órgão, entidade ou unidade administrativa pela qual a Administração Pública opera e atua concretamente, pelo prazo de até dois anos;</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shd w:fill="FFFFFF" w:val="clear"/>
        </w:rPr>
        <w:t>20.4.4 Impedimento de licitar e de contratar com a União e descredenciamento no SICAF, pelo prazo de até cinco anos;</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20.5 Declaração de inidoneidade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20.6 A penalidade de multa pode ser aplicada cumulativamente com as demais sanções.</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20.7 Se, durante o processo de aplicação de penalidade, se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20.8 A apuração e o julgamento das demais infrações administrativas não consideradas como ato lesivo à Administração Pública nacional ou estrangeira nos termos da Lei nº 12.846, de 1º de agosto de 2013, seguirão seu rito normal na unidade administrativa.</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 xml:space="preserve">20.9 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pPr>
        <w:pStyle w:val="ListParagraph"/>
        <w:numPr>
          <w:ilvl w:val="0"/>
          <w:numId w:val="0"/>
        </w:numPr>
        <w:spacing w:lineRule="auto" w:line="276" w:before="120" w:after="120"/>
        <w:ind w:left="999" w:hanging="0"/>
        <w:contextualSpacing/>
        <w:jc w:val="both"/>
        <w:rPr>
          <w:rFonts w:cs="Arial"/>
          <w:shd w:fill="FFFFFF" w:val="clear"/>
        </w:rPr>
      </w:pPr>
      <w:r>
        <w:rPr>
          <w:rFonts w:cs="Arial"/>
          <w:shd w:fill="FFFFFF" w:val="clear"/>
        </w:rPr>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20.10 Caso o valor da multa não seja suficiente para cobrir os prejuízos causados pela conduta do licitante, a União ou Entidade poderá cobrar o valor remanescente judicialmente, conforme artigo 419 do Código Civil.</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20.11 A aplicação de qualquer das penalidades previstas realizar-se-á em processo administrativo que assegurará o contraditório e a ampla defesa ao licitante/adjudicatário, observando-se o procedimento previsto na Lei nº 8.666, de 1993, e subsidiariamente na Lei Municipal nº 2.725, de 2018.</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20.12 A autoridade competente, na aplicação das sanções, levará em consideração a gravidade da conduta do infrator, o caráter educativo da pena, bem como o dano causado à Administração, observado o princípio da proporcionalidade.</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20.13 As penalidades serão obrigatoriamente registradas no SICAF.</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sz w:val="22"/>
          <w:szCs w:val="22"/>
          <w:shd w:fill="FFFFFF" w:val="clear"/>
        </w:rPr>
        <w:t xml:space="preserve">20.14 As sanções por atos praticados no decorrer da contratação estão previstas no </w:t>
      </w:r>
      <w:r>
        <w:rPr>
          <w:rFonts w:eastAsia="" w:cs="Arial" w:ascii="Verdana" w:hAnsi="Verdana"/>
          <w:color w:val="000000"/>
          <w:kern w:val="0"/>
          <w:sz w:val="22"/>
          <w:szCs w:val="22"/>
          <w:shd w:fill="FFFFFF" w:val="clear"/>
          <w:lang w:val="pt-BR" w:eastAsia="pt-BR" w:bidi="ar-SA"/>
        </w:rPr>
        <w:t>ANEXO II – Minuta da Ata</w:t>
      </w:r>
      <w:r>
        <w:rPr>
          <w:rFonts w:cs="Arial" w:ascii="Verdana" w:hAnsi="Verdana"/>
          <w:sz w:val="22"/>
          <w:szCs w:val="22"/>
          <w:shd w:fill="FFFFFF" w:val="clear"/>
        </w:rPr>
        <w:t>.</w:t>
      </w:r>
    </w:p>
    <w:p>
      <w:pPr>
        <w:pStyle w:val="Nivel01"/>
        <w:numPr>
          <w:ilvl w:val="0"/>
          <w:numId w:val="0"/>
        </w:numPr>
        <w:ind w:left="0" w:hanging="0"/>
        <w:rPr>
          <w:rFonts w:ascii="Verdana" w:hAnsi="Verdana"/>
          <w:sz w:val="22"/>
          <w:szCs w:val="22"/>
        </w:rPr>
      </w:pPr>
      <w:r>
        <w:rPr>
          <w:rFonts w:cs="Arial" w:ascii="Verdana" w:hAnsi="Verdana"/>
          <w:iCs/>
          <w:color w:val="auto"/>
          <w:sz w:val="22"/>
          <w:szCs w:val="22"/>
        </w:rPr>
        <w:t xml:space="preserve">21. DA FORMAÇÃO DO CADASTRO DE RESERVA </w:t>
      </w:r>
    </w:p>
    <w:p>
      <w:pPr>
        <w:pStyle w:val="ListParagraph"/>
        <w:numPr>
          <w:ilvl w:val="0"/>
          <w:numId w:val="0"/>
        </w:numPr>
        <w:spacing w:lineRule="auto" w:line="276" w:before="120" w:after="120"/>
        <w:ind w:left="0" w:hanging="0"/>
        <w:contextualSpacing/>
        <w:jc w:val="both"/>
        <w:rPr>
          <w:rFonts w:ascii="Verdana" w:hAnsi="Verdana"/>
          <w:sz w:val="22"/>
          <w:szCs w:val="22"/>
        </w:rPr>
      </w:pPr>
      <w:r>
        <w:rPr>
          <w:rFonts w:cs="Arial" w:ascii="Verdana" w:hAnsi="Verdana"/>
          <w:iCs/>
          <w:sz w:val="22"/>
          <w:szCs w:val="22"/>
        </w:rPr>
        <w:t>21.1 Após o encerramento da etapa competitiva, os licitantes poderão reduzir seus preços ao valor da proposta do licitante mais bem classificado.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iCs/>
          <w:sz w:val="22"/>
          <w:szCs w:val="22"/>
        </w:rPr>
        <w:t>21.2 A apresentação de novas propostas na forma deste item não prejudicará o resultado do certame em relação ao licitante melhor classificado.</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iCs/>
          <w:sz w:val="22"/>
          <w:szCs w:val="22"/>
        </w:rPr>
        <w:t>21.3 Havendo um ou mais licitantes que aceitem cotar suas propostas em valor igual ao do licitante vencedor, estes serão classificados segundo a ordem da última proposta individual apresentada durante a fase competitiva.</w:t>
      </w:r>
    </w:p>
    <w:p>
      <w:pPr>
        <w:pStyle w:val="Normal"/>
        <w:numPr>
          <w:ilvl w:val="0"/>
          <w:numId w:val="0"/>
        </w:numPr>
        <w:spacing w:lineRule="auto" w:line="276" w:before="120" w:after="120"/>
        <w:ind w:left="0" w:hanging="0"/>
        <w:jc w:val="both"/>
        <w:rPr>
          <w:rFonts w:ascii="Verdana" w:hAnsi="Verdana"/>
          <w:sz w:val="22"/>
          <w:szCs w:val="22"/>
        </w:rPr>
      </w:pPr>
      <w:r>
        <w:rPr>
          <w:rFonts w:cs="Arial" w:ascii="Verdana" w:hAnsi="Verdana"/>
          <w:iCs/>
          <w:sz w:val="22"/>
          <w:szCs w:val="22"/>
        </w:rPr>
        <w:t>21.4 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pPr>
        <w:pStyle w:val="Nivel01"/>
        <w:numPr>
          <w:ilvl w:val="0"/>
          <w:numId w:val="0"/>
        </w:numPr>
        <w:ind w:left="0" w:hanging="0"/>
        <w:rPr>
          <w:rFonts w:ascii="Verdana" w:hAnsi="Verdana"/>
          <w:sz w:val="22"/>
          <w:szCs w:val="22"/>
        </w:rPr>
      </w:pPr>
      <w:r>
        <w:rPr>
          <w:rFonts w:cs="Arial" w:ascii="Verdana" w:hAnsi="Verdana"/>
          <w:sz w:val="22"/>
          <w:szCs w:val="22"/>
        </w:rPr>
        <w:t>22. DA IMPUGNAÇÃO AO EDITAL E DO PEDIDO DE ESCLARECIMENTO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sz w:val="22"/>
          <w:szCs w:val="22"/>
        </w:rPr>
        <w:t xml:space="preserve">22.1 Até </w:t>
      </w:r>
      <w:r>
        <w:rPr>
          <w:rFonts w:cs="Arial" w:ascii="Verdana" w:hAnsi="Verdana"/>
          <w:color w:val="000000"/>
          <w:sz w:val="22"/>
          <w:szCs w:val="22"/>
        </w:rPr>
        <w:t>03 (três) dias úteis antes da data designada para a abertura da sessão pública, qualquer pessoa poderá impugnar este Edital.</w:t>
      </w:r>
    </w:p>
    <w:p>
      <w:pPr>
        <w:pStyle w:val="ListParagraph"/>
        <w:widowControl/>
        <w:numPr>
          <w:ilvl w:val="0"/>
          <w:numId w:val="0"/>
        </w:numPr>
        <w:bidi w:val="0"/>
        <w:spacing w:lineRule="auto" w:line="276" w:before="120" w:after="120"/>
        <w:ind w:left="0" w:right="0" w:hanging="0"/>
        <w:contextualSpacing/>
        <w:jc w:val="both"/>
        <w:rPr/>
      </w:pPr>
      <w:r>
        <w:rPr>
          <w:rFonts w:cs="Arial" w:ascii="Verdana" w:hAnsi="Verdana"/>
          <w:color w:val="000000"/>
          <w:sz w:val="22"/>
          <w:szCs w:val="22"/>
        </w:rPr>
        <w:t xml:space="preserve">22.2 A impugnação poderá ser realizada por forma eletrônica, pelo e-mail </w:t>
      </w:r>
      <w:hyperlink r:id="rId10">
        <w:r>
          <w:rPr>
            <w:rStyle w:val="LinkdaInternet"/>
            <w:rFonts w:cs="Arial" w:ascii="Verdana" w:hAnsi="Verdana"/>
            <w:b/>
            <w:bCs/>
            <w:color w:val="000000" w:themeColor="text1"/>
            <w:sz w:val="22"/>
            <w:szCs w:val="22"/>
            <w:lang w:eastAsia="pt-BR"/>
          </w:rPr>
          <w:t>licitacao@saogabriel.es.gov.br</w:t>
        </w:r>
      </w:hyperlink>
      <w:r>
        <w:rPr>
          <w:rFonts w:cs="Arial" w:ascii="Verdana" w:hAnsi="Verdana"/>
          <w:color w:val="000000" w:themeColor="text1"/>
          <w:sz w:val="22"/>
          <w:szCs w:val="22"/>
        </w:rPr>
        <w:t xml:space="preserve">, </w:t>
      </w:r>
      <w:r>
        <w:rPr>
          <w:rFonts w:cs="Arial" w:ascii="Verdana" w:hAnsi="Verdana"/>
          <w:color w:val="000000"/>
          <w:sz w:val="22"/>
          <w:szCs w:val="22"/>
        </w:rPr>
        <w:t xml:space="preserve">ou por petição dirigida ou protocolada no </w:t>
      </w:r>
      <w:r>
        <w:rPr>
          <w:rFonts w:cs="Arial" w:ascii="Verdana" w:hAnsi="Verdana"/>
          <w:sz w:val="22"/>
          <w:szCs w:val="22"/>
          <w:lang w:eastAsia="pt-BR"/>
        </w:rPr>
        <w:t>Protocolo Geral da Prefeitura Municipal de São Gabriel da Palha-ES, situada na Praça Vicente Glazar, 159, Glória, São Gabriel da Palha-ES, CEP 29.780-000.</w:t>
      </w:r>
    </w:p>
    <w:p>
      <w:pPr>
        <w:pStyle w:val="ListParagraph"/>
        <w:widowControl/>
        <w:numPr>
          <w:ilvl w:val="0"/>
          <w:numId w:val="0"/>
        </w:numPr>
        <w:bidi w:val="0"/>
        <w:spacing w:lineRule="auto" w:line="276" w:before="120" w:after="120"/>
        <w:ind w:left="0" w:right="0" w:hanging="0"/>
        <w:contextualSpacing/>
        <w:jc w:val="both"/>
        <w:rPr>
          <w:sz w:val="22"/>
          <w:szCs w:val="22"/>
        </w:rPr>
      </w:pPr>
      <w:r>
        <w:rPr>
          <w:rFonts w:cs="Arial" w:ascii="Verdana" w:hAnsi="Verdana"/>
          <w:color w:val="000000"/>
          <w:sz w:val="22"/>
          <w:szCs w:val="22"/>
        </w:rPr>
        <w:t>22.3 Caberá ao Pregoeiro, auxiliado pelos responsáveis pela elaboração deste Edital e seus anexos, decidir sobre a impugnação no prazo de até dois dias úteis contados da data de recebimento da impugnação.</w:t>
      </w:r>
    </w:p>
    <w:p>
      <w:pPr>
        <w:pStyle w:val="ListParagraph"/>
        <w:widowControl/>
        <w:numPr>
          <w:ilvl w:val="0"/>
          <w:numId w:val="0"/>
        </w:numPr>
        <w:bidi w:val="0"/>
        <w:spacing w:lineRule="auto" w:line="276" w:before="120" w:after="120"/>
        <w:ind w:left="0" w:right="0" w:hanging="0"/>
        <w:contextualSpacing/>
        <w:jc w:val="both"/>
        <w:rPr>
          <w:sz w:val="22"/>
          <w:szCs w:val="22"/>
        </w:rPr>
      </w:pPr>
      <w:r>
        <w:rPr>
          <w:rFonts w:cs="Arial" w:ascii="Verdana" w:hAnsi="Verdana"/>
          <w:color w:val="000000"/>
          <w:sz w:val="22"/>
          <w:szCs w:val="22"/>
        </w:rPr>
        <w:t>22.4 Acolhida a impugnação, será definida e publicada nova data para a realização do certame.</w:t>
      </w:r>
    </w:p>
    <w:p>
      <w:pPr>
        <w:pStyle w:val="ListParagraph"/>
        <w:widowControl/>
        <w:numPr>
          <w:ilvl w:val="0"/>
          <w:numId w:val="0"/>
        </w:numPr>
        <w:bidi w:val="0"/>
        <w:spacing w:lineRule="auto" w:line="276" w:before="120" w:after="120"/>
        <w:ind w:left="0" w:right="0" w:hanging="0"/>
        <w:contextualSpacing/>
        <w:jc w:val="both"/>
        <w:rPr>
          <w:sz w:val="22"/>
          <w:szCs w:val="22"/>
        </w:rPr>
      </w:pPr>
      <w:r>
        <w:rPr>
          <w:rFonts w:cs="Arial" w:ascii="Verdana" w:hAnsi="Verdana"/>
          <w:color w:val="000000"/>
          <w:sz w:val="22"/>
          <w:szCs w:val="22"/>
        </w:rPr>
        <w:t xml:space="preserve">22.5 Os pedidos de esclarecimentos referentes a este processo licitatório deverão ser enviados ao Pregoeiro, até 03 (três) dias úteis anteriores à data designada para abertura da sessão pública, </w:t>
      </w:r>
      <w:r>
        <w:rPr>
          <w:rFonts w:cs="Arial" w:ascii="Verdana" w:hAnsi="Verdana"/>
          <w:bCs/>
          <w:sz w:val="22"/>
          <w:szCs w:val="22"/>
          <w:lang w:eastAsia="en-US"/>
        </w:rPr>
        <w:t>exclusivamente por meio eletrônico via internet, no endereço indicado no Edital.</w:t>
      </w:r>
    </w:p>
    <w:p>
      <w:pPr>
        <w:pStyle w:val="ListParagraph"/>
        <w:widowControl/>
        <w:numPr>
          <w:ilvl w:val="0"/>
          <w:numId w:val="0"/>
        </w:numPr>
        <w:bidi w:val="0"/>
        <w:spacing w:lineRule="auto" w:line="276" w:before="120" w:after="120"/>
        <w:ind w:left="0" w:right="0" w:hanging="0"/>
        <w:contextualSpacing/>
        <w:jc w:val="both"/>
        <w:rPr>
          <w:sz w:val="22"/>
          <w:szCs w:val="22"/>
        </w:rPr>
      </w:pPr>
      <w:r>
        <w:rPr>
          <w:rFonts w:cs="Arial" w:ascii="Verdana" w:hAnsi="Verdana"/>
          <w:color w:val="000000"/>
          <w:sz w:val="22"/>
          <w:szCs w:val="22"/>
        </w:rPr>
        <w:t>22.6 O pregoeiro responderá aos pedidos de esclarecimentos no prazo de dois dias úteis, contado da data de recebimento do pedido, e poderá requisitar subsídios formais aos responsáveis pela elaboração do edital e dos anexos.</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22.7 As impugnações e pedidos de esclarecimentos não suspendem os prazos previstos no certame.</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22.8 A concessão de efeito suspensivo à impugnação é medida excepcional e deverá ser motivada pelo pregoeiro, nos autos do processo de licitação.</w:t>
      </w:r>
    </w:p>
    <w:p>
      <w:pPr>
        <w:pStyle w:val="ListParagraph"/>
        <w:widowControl/>
        <w:numPr>
          <w:ilvl w:val="0"/>
          <w:numId w:val="0"/>
        </w:numPr>
        <w:bidi w:val="0"/>
        <w:spacing w:lineRule="auto" w:line="276" w:before="120" w:after="120"/>
        <w:ind w:left="0" w:right="0" w:hanging="0"/>
        <w:contextualSpacing/>
        <w:jc w:val="both"/>
        <w:rPr>
          <w:rFonts w:ascii="Verdana" w:hAnsi="Verdana"/>
          <w:sz w:val="22"/>
          <w:szCs w:val="22"/>
        </w:rPr>
      </w:pPr>
      <w:r>
        <w:rPr>
          <w:rFonts w:cs="Arial" w:ascii="Verdana" w:hAnsi="Verdana"/>
          <w:color w:val="000000"/>
          <w:sz w:val="22"/>
          <w:szCs w:val="22"/>
        </w:rPr>
        <w:t>22.8 As respostas aos pedidos de esclarecimentos serão divulgadas pelo sistema e vincularão os participantes e a administração.</w:t>
      </w:r>
    </w:p>
    <w:p>
      <w:pPr>
        <w:pStyle w:val="Nivel01"/>
        <w:numPr>
          <w:ilvl w:val="0"/>
          <w:numId w:val="0"/>
        </w:numPr>
        <w:ind w:left="0" w:hanging="0"/>
        <w:rPr>
          <w:rFonts w:ascii="Verdana" w:hAnsi="Verdana"/>
          <w:sz w:val="22"/>
          <w:szCs w:val="22"/>
        </w:rPr>
      </w:pPr>
      <w:r>
        <w:rPr>
          <w:rFonts w:cs="Arial" w:ascii="Verdana" w:hAnsi="Verdana"/>
          <w:sz w:val="22"/>
          <w:szCs w:val="22"/>
        </w:rPr>
        <w:t>23 DAS DISPOSIÇÕES GERAIS</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23.1 Da sessão pública do Pregão divulgar-se-á Ata no sistema eletrônico.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23.3 Todas as referências de tempo no Edital, no aviso e durante a sessão pública observarão o horário de Brasília – DF.</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themeColor="text1"/>
          <w:sz w:val="22"/>
          <w:szCs w:val="22"/>
        </w:rPr>
        <w:t>23.4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23.5 A homologação do resultado desta licitação não implicará direito à contratação.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23.7 Os licitantes assumem todos os custos de preparação e apresentação de suas propostas e a Administração não será, em nenhum caso, responsável por esses custos, independentemente da condução ou do resultado do processo licitatório.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23.8 Na contagem dos prazos estabelecidos neste Edital e seus Anexos, excluir-se-á o dia do início e incluir-se-á o do vencimento. Só se iniciam e vencem os prazos em dias de expediente na Administração.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23.9 O desatendimento de exigências formais não essenciais não importará o afastamento do licitante, desde que seja possível o aproveitamento do ato, observados os princípios da isonomia e do interesse público.</w:t>
      </w:r>
    </w:p>
    <w:p>
      <w:pPr>
        <w:pStyle w:val="Normal"/>
        <w:widowControl/>
        <w:numPr>
          <w:ilvl w:val="0"/>
          <w:numId w:val="0"/>
        </w:numPr>
        <w:bidi w:val="0"/>
        <w:spacing w:lineRule="auto" w:line="276" w:before="120" w:after="120"/>
        <w:ind w:left="0" w:right="0" w:hanging="0"/>
        <w:jc w:val="both"/>
        <w:rPr>
          <w:rFonts w:ascii="Verdana" w:hAnsi="Verdana"/>
          <w:sz w:val="22"/>
          <w:szCs w:val="22"/>
        </w:rPr>
      </w:pPr>
      <w:r>
        <w:rPr>
          <w:rFonts w:cs="Arial" w:ascii="Verdana" w:hAnsi="Verdana"/>
          <w:color w:val="000000"/>
          <w:sz w:val="22"/>
          <w:szCs w:val="22"/>
        </w:rPr>
        <w:t>23.10 Em caso de divergência entre disposições deste Edital e de seus anexos ou demais peças que compõem o processo, prevalecerá as deste Edital.</w:t>
      </w:r>
    </w:p>
    <w:p>
      <w:pPr>
        <w:pStyle w:val="Normal"/>
        <w:widowControl/>
        <w:numPr>
          <w:ilvl w:val="0"/>
          <w:numId w:val="0"/>
        </w:numPr>
        <w:bidi w:val="0"/>
        <w:spacing w:lineRule="auto" w:line="276" w:before="120" w:after="120"/>
        <w:ind w:left="0" w:right="0" w:hanging="0"/>
        <w:jc w:val="both"/>
        <w:rPr/>
      </w:pPr>
      <w:r>
        <w:rPr>
          <w:rFonts w:cs="Arial" w:ascii="Verdana" w:hAnsi="Verdana"/>
          <w:color w:val="000000"/>
          <w:sz w:val="22"/>
          <w:szCs w:val="22"/>
        </w:rPr>
        <w:t xml:space="preserve">23.11 O Edital está disponibilizado, na íntegra, no endereço eletrônico </w:t>
      </w:r>
      <w:r>
        <w:rPr>
          <w:rFonts w:cs="Arial" w:ascii="Verdana" w:hAnsi="Verdana"/>
          <w:sz w:val="22"/>
          <w:szCs w:val="22"/>
          <w:u w:val="single"/>
        </w:rPr>
        <w:t>http://www.comprasgovernamentais.gov.br</w:t>
      </w:r>
      <w:r>
        <w:rPr>
          <w:rFonts w:cs="Arial" w:ascii="Verdana" w:hAnsi="Verdana"/>
          <w:color w:val="000000"/>
          <w:sz w:val="22"/>
          <w:szCs w:val="22"/>
        </w:rPr>
        <w:t>, e tamb</w:t>
      </w:r>
      <w:r>
        <w:rPr>
          <w:rFonts w:ascii="Verdana" w:hAnsi="Verdana"/>
          <w:sz w:val="22"/>
          <w:szCs w:val="22"/>
        </w:rPr>
        <w:t xml:space="preserve">ém poderá ser lido e/ou obtido através do e-mail </w:t>
      </w:r>
      <w:hyperlink r:id="rId11">
        <w:r>
          <w:rPr>
            <w:rStyle w:val="LinkdaInternet"/>
            <w:rFonts w:ascii="Verdana" w:hAnsi="Verdana"/>
            <w:sz w:val="22"/>
            <w:szCs w:val="22"/>
          </w:rPr>
          <w:t>licitacao@</w:t>
        </w:r>
        <w:r>
          <w:rPr>
            <w:rStyle w:val="LinkdaInternet"/>
            <w:rFonts w:cs="Tahoma" w:ascii="Verdana" w:hAnsi="Verdana"/>
            <w:sz w:val="22"/>
            <w:szCs w:val="22"/>
            <w:lang w:eastAsia="pt-BR"/>
          </w:rPr>
          <w:t>saogabriel</w:t>
        </w:r>
        <w:r>
          <w:rPr>
            <w:rStyle w:val="LinkdaInternet"/>
            <w:rFonts w:ascii="Verdana" w:hAnsi="Verdana"/>
            <w:sz w:val="22"/>
            <w:szCs w:val="22"/>
          </w:rPr>
          <w:t>.es.gov.br</w:t>
        </w:r>
      </w:hyperlink>
      <w:r>
        <w:rPr>
          <w:rFonts w:ascii="Verdana" w:hAnsi="Verdana"/>
          <w:sz w:val="22"/>
          <w:szCs w:val="22"/>
        </w:rPr>
        <w:t xml:space="preserve"> ou no endereço da Prefeitura Municipal de </w:t>
      </w:r>
      <w:r>
        <w:rPr>
          <w:rFonts w:cs="Tahoma" w:ascii="Verdana" w:hAnsi="Verdana"/>
          <w:sz w:val="22"/>
          <w:szCs w:val="22"/>
          <w:lang w:eastAsia="pt-BR"/>
        </w:rPr>
        <w:t>São Gabriel da Palha</w:t>
      </w:r>
      <w:r>
        <w:rPr>
          <w:rFonts w:ascii="Verdana" w:hAnsi="Verdana"/>
          <w:sz w:val="22"/>
          <w:szCs w:val="22"/>
        </w:rPr>
        <w:t xml:space="preserve">/ES, </w:t>
      </w:r>
      <w:r>
        <w:rPr>
          <w:rFonts w:cs="Arial" w:ascii="Verdana" w:hAnsi="Verdana"/>
          <w:sz w:val="22"/>
          <w:szCs w:val="22"/>
          <w:lang w:eastAsia="pt-BR"/>
        </w:rPr>
        <w:t>situada na Praça Vicente Glazar, 159, Glória, São Gabriel da Palha-ES, CEP 29.780-000</w:t>
      </w:r>
      <w:r>
        <w:rPr>
          <w:rFonts w:ascii="Verdana" w:hAnsi="Verdana"/>
          <w:sz w:val="22"/>
          <w:szCs w:val="22"/>
        </w:rPr>
        <w:t>, de segunda a quinta feira das 12h00min as 18h00min e nas sextas-feiras das 07h00min as 13h00min, mesmo endereço e período no qual os autos do processo administrativo permanecerão com vista franqueada aos interessados.</w:t>
      </w:r>
    </w:p>
    <w:p>
      <w:pPr>
        <w:pStyle w:val="Normal"/>
        <w:widowControl/>
        <w:numPr>
          <w:ilvl w:val="0"/>
          <w:numId w:val="0"/>
        </w:numPr>
        <w:bidi w:val="0"/>
        <w:spacing w:lineRule="auto" w:line="276" w:before="120" w:after="120"/>
        <w:ind w:left="0" w:right="0" w:hanging="0"/>
        <w:jc w:val="both"/>
        <w:rPr>
          <w:sz w:val="22"/>
          <w:szCs w:val="22"/>
        </w:rPr>
      </w:pPr>
      <w:r>
        <w:rPr>
          <w:rFonts w:cs="Arial" w:ascii="Verdana" w:hAnsi="Verdana"/>
          <w:color w:val="000000"/>
          <w:sz w:val="22"/>
          <w:szCs w:val="22"/>
        </w:rPr>
        <w:t>23.12 Integram este Edital, para todos os fins e efeitos, os seguintes anexos</w:t>
      </w:r>
    </w:p>
    <w:p>
      <w:pPr>
        <w:pStyle w:val="Normal"/>
        <w:widowControl/>
        <w:numPr>
          <w:ilvl w:val="0"/>
          <w:numId w:val="0"/>
        </w:numPr>
        <w:bidi w:val="0"/>
        <w:spacing w:lineRule="auto" w:line="276" w:before="120" w:after="120"/>
        <w:ind w:left="0" w:right="0" w:hanging="0"/>
        <w:jc w:val="both"/>
        <w:rPr>
          <w:sz w:val="22"/>
          <w:szCs w:val="22"/>
        </w:rPr>
      </w:pPr>
      <w:r>
        <w:rPr>
          <w:rFonts w:cs="Arial" w:ascii="Verdana" w:hAnsi="Verdana"/>
          <w:color w:val="000000"/>
          <w:sz w:val="22"/>
          <w:szCs w:val="22"/>
        </w:rPr>
        <w:t xml:space="preserve">23.12.1 ANEXO I – </w:t>
      </w:r>
      <w:r>
        <w:rPr>
          <w:rFonts w:cs="Arial" w:ascii="Verdana" w:hAnsi="Verdana"/>
          <w:color w:val="000000"/>
          <w:sz w:val="22"/>
          <w:szCs w:val="22"/>
          <w:lang w:eastAsia="pt-BR"/>
        </w:rPr>
        <w:t>Modelo Orientativo de Proposta</w:t>
      </w:r>
      <w:r>
        <w:rPr>
          <w:rFonts w:cs="Arial" w:ascii="Verdana" w:hAnsi="Verdana"/>
          <w:color w:val="000000"/>
          <w:sz w:val="22"/>
          <w:szCs w:val="22"/>
        </w:rPr>
        <w:t>;</w:t>
      </w:r>
    </w:p>
    <w:p>
      <w:pPr>
        <w:pStyle w:val="Normal"/>
        <w:widowControl/>
        <w:numPr>
          <w:ilvl w:val="0"/>
          <w:numId w:val="0"/>
        </w:numPr>
        <w:tabs>
          <w:tab w:val="clear" w:pos="720"/>
          <w:tab w:val="left" w:pos="800" w:leader="none"/>
        </w:tabs>
        <w:bidi w:val="0"/>
        <w:snapToGrid w:val="false"/>
        <w:spacing w:lineRule="auto" w:line="276" w:before="120" w:after="120"/>
        <w:ind w:left="0" w:right="0" w:hanging="0"/>
        <w:jc w:val="both"/>
        <w:rPr>
          <w:sz w:val="22"/>
          <w:szCs w:val="22"/>
        </w:rPr>
      </w:pPr>
      <w:r>
        <w:rPr>
          <w:rFonts w:cs="Arial" w:ascii="Verdana" w:hAnsi="Verdana"/>
          <w:color w:val="000000"/>
          <w:sz w:val="22"/>
          <w:szCs w:val="22"/>
        </w:rPr>
        <w:t>23.12.2 ANEXO II – Minuta de Ata de Registro de Preços</w:t>
      </w:r>
      <w:r>
        <w:rPr>
          <w:rFonts w:cs="Arial" w:ascii="Verdana" w:hAnsi="Verdana"/>
          <w:color w:val="000000"/>
          <w:sz w:val="22"/>
          <w:szCs w:val="22"/>
          <w:lang w:eastAsia="pt-BR"/>
        </w:rPr>
        <w:t>;</w:t>
      </w:r>
    </w:p>
    <w:p>
      <w:pPr>
        <w:pStyle w:val="Normal"/>
        <w:keepNext w:val="true"/>
        <w:keepLines/>
        <w:numPr>
          <w:ilvl w:val="0"/>
          <w:numId w:val="0"/>
        </w:numPr>
        <w:tabs>
          <w:tab w:val="clear" w:pos="720"/>
          <w:tab w:val="left" w:pos="567" w:leader="none"/>
        </w:tabs>
        <w:ind w:left="360" w:hanging="0"/>
        <w:jc w:val="both"/>
        <w:outlineLvl w:val="0"/>
        <w:rPr>
          <w:rFonts w:ascii="Verdana" w:hAnsi="Verdana" w:eastAsia="" w:cs="Arial" w:eastAsiaTheme="majorEastAsia"/>
          <w:b w:val="false"/>
          <w:b w:val="false"/>
          <w:bCs w:val="false"/>
          <w:color w:val="000000"/>
          <w:sz w:val="22"/>
          <w:szCs w:val="22"/>
        </w:rPr>
      </w:pPr>
      <w:r>
        <w:rPr>
          <w:rFonts w:eastAsia="" w:cs="Arial" w:eastAsiaTheme="majorEastAsia" w:ascii="Verdana" w:hAnsi="Verdana"/>
          <w:b w:val="false"/>
          <w:bCs w:val="false"/>
          <w:color w:val="000000"/>
          <w:sz w:val="22"/>
          <w:szCs w:val="22"/>
        </w:rPr>
      </w:r>
    </w:p>
    <w:p>
      <w:pPr>
        <w:pStyle w:val="Normal"/>
        <w:keepNext w:val="true"/>
        <w:keepLines/>
        <w:numPr>
          <w:ilvl w:val="0"/>
          <w:numId w:val="0"/>
        </w:numPr>
        <w:tabs>
          <w:tab w:val="clear" w:pos="720"/>
          <w:tab w:val="left" w:pos="567" w:leader="none"/>
        </w:tabs>
        <w:ind w:left="360" w:hanging="0"/>
        <w:jc w:val="center"/>
        <w:outlineLvl w:val="0"/>
        <w:rPr>
          <w:b w:val="false"/>
          <w:b w:val="false"/>
          <w:bCs w:val="false"/>
          <w:sz w:val="22"/>
          <w:szCs w:val="22"/>
        </w:rPr>
      </w:pPr>
      <w:r>
        <w:rPr>
          <w:rFonts w:eastAsia="" w:cs="Arial" w:ascii="Verdana" w:hAnsi="Verdana" w:eastAsiaTheme="majorEastAsia"/>
          <w:b w:val="false"/>
          <w:bCs w:val="false"/>
          <w:color w:val="000000"/>
          <w:sz w:val="22"/>
          <w:szCs w:val="22"/>
          <w:lang w:eastAsia="pt-BR"/>
        </w:rPr>
        <w:t>São Gabriel da Palha/ES</w:t>
      </w:r>
      <w:r>
        <w:rPr>
          <w:rFonts w:eastAsia="" w:cs="Arial" w:ascii="Verdana" w:hAnsi="Verdana" w:eastAsiaTheme="majorEastAsia"/>
          <w:b w:val="false"/>
          <w:bCs w:val="false"/>
          <w:color w:val="000000"/>
          <w:sz w:val="22"/>
          <w:szCs w:val="22"/>
        </w:rPr>
        <w:t>, 2</w:t>
      </w:r>
      <w:r>
        <w:rPr>
          <w:rFonts w:eastAsia="" w:cs="Arial" w:ascii="Verdana" w:hAnsi="Verdana" w:eastAsiaTheme="majorEastAsia"/>
          <w:b w:val="false"/>
          <w:bCs w:val="false"/>
          <w:color w:val="000000"/>
          <w:sz w:val="22"/>
          <w:szCs w:val="22"/>
        </w:rPr>
        <w:t>6</w:t>
      </w:r>
      <w:r>
        <w:rPr>
          <w:rFonts w:eastAsia="" w:cs="Arial" w:ascii="Verdana" w:hAnsi="Verdana" w:eastAsiaTheme="majorEastAsia"/>
          <w:b w:val="false"/>
          <w:bCs w:val="false"/>
          <w:color w:val="000000"/>
          <w:sz w:val="22"/>
          <w:szCs w:val="22"/>
        </w:rPr>
        <w:t xml:space="preserve"> de </w:t>
      </w:r>
      <w:r>
        <w:rPr>
          <w:rFonts w:eastAsia="" w:cs="Arial" w:ascii="Verdana" w:hAnsi="Verdana" w:eastAsiaTheme="majorEastAsia"/>
          <w:b w:val="false"/>
          <w:bCs w:val="false"/>
          <w:color w:val="000000"/>
          <w:kern w:val="0"/>
          <w:sz w:val="22"/>
          <w:szCs w:val="22"/>
          <w:lang w:val="pt-BR" w:eastAsia="pt-BR" w:bidi="ar-SA"/>
        </w:rPr>
        <w:t>maio</w:t>
      </w:r>
      <w:r>
        <w:rPr>
          <w:rFonts w:eastAsia="" w:cs="Arial" w:ascii="Verdana" w:hAnsi="Verdana" w:eastAsiaTheme="majorEastAsia"/>
          <w:b w:val="false"/>
          <w:bCs w:val="false"/>
          <w:color w:val="000000"/>
          <w:sz w:val="22"/>
          <w:szCs w:val="22"/>
        </w:rPr>
        <w:t xml:space="preserve"> de 2022.</w:t>
      </w:r>
    </w:p>
    <w:p>
      <w:pPr>
        <w:pStyle w:val="Normal"/>
        <w:tabs>
          <w:tab w:val="clear" w:pos="720"/>
          <w:tab w:val="left" w:pos="1440" w:leader="none"/>
        </w:tabs>
        <w:snapToGrid w:val="false"/>
        <w:spacing w:lineRule="auto" w:line="276" w:before="120" w:after="120"/>
        <w:ind w:left="1638" w:hanging="0"/>
        <w:jc w:val="both"/>
        <w:rPr>
          <w:rFonts w:ascii="Verdana" w:hAnsi="Verdana" w:cs="Arial"/>
          <w:sz w:val="22"/>
          <w:szCs w:val="22"/>
        </w:rPr>
      </w:pPr>
      <w:r>
        <w:rPr>
          <w:rFonts w:cs="Arial" w:ascii="Verdana" w:hAnsi="Verdana"/>
          <w:sz w:val="22"/>
          <w:szCs w:val="22"/>
        </w:rPr>
      </w:r>
    </w:p>
    <w:p>
      <w:pPr>
        <w:pStyle w:val="Normal"/>
        <w:keepNext w:val="true"/>
        <w:keepLines/>
        <w:numPr>
          <w:ilvl w:val="0"/>
          <w:numId w:val="0"/>
        </w:numPr>
        <w:tabs>
          <w:tab w:val="clear" w:pos="720"/>
          <w:tab w:val="left" w:pos="567" w:leader="none"/>
        </w:tabs>
        <w:ind w:left="360" w:hanging="0"/>
        <w:jc w:val="both"/>
        <w:outlineLvl w:val="0"/>
        <w:rPr>
          <w:rFonts w:ascii="Verdana" w:hAnsi="Verdana" w:eastAsia="" w:cs="Arial" w:eastAsiaTheme="majorEastAsia"/>
          <w:b/>
          <w:b/>
          <w:bCs/>
          <w:color w:val="000000"/>
          <w:sz w:val="22"/>
          <w:szCs w:val="22"/>
        </w:rPr>
      </w:pPr>
      <w:r>
        <w:rPr>
          <w:rFonts w:eastAsia="" w:cs="Arial" w:eastAsiaTheme="majorEastAsia" w:ascii="Verdana" w:hAnsi="Verdana"/>
          <w:b/>
          <w:bCs/>
          <w:color w:val="000000"/>
          <w:sz w:val="22"/>
          <w:szCs w:val="22"/>
        </w:rPr>
      </w:r>
    </w:p>
    <w:p>
      <w:pPr>
        <w:pStyle w:val="Normal"/>
        <w:keepNext w:val="true"/>
        <w:keepLines/>
        <w:numPr>
          <w:ilvl w:val="0"/>
          <w:numId w:val="0"/>
        </w:numPr>
        <w:tabs>
          <w:tab w:val="clear" w:pos="720"/>
          <w:tab w:val="left" w:pos="567" w:leader="none"/>
        </w:tabs>
        <w:ind w:left="360" w:hanging="0"/>
        <w:jc w:val="center"/>
        <w:outlineLvl w:val="0"/>
        <w:rPr>
          <w:rFonts w:ascii="Verdana" w:hAnsi="Verdana" w:eastAsia="" w:cs="Arial" w:eastAsiaTheme="majorEastAsia"/>
          <w:b/>
          <w:b/>
          <w:bCs/>
          <w:color w:val="000000"/>
          <w:kern w:val="0"/>
          <w:sz w:val="22"/>
          <w:szCs w:val="22"/>
          <w:lang w:val="pt-BR" w:eastAsia="pt-BR" w:bidi="ar-SA"/>
        </w:rPr>
      </w:pPr>
      <w:r>
        <w:rPr>
          <w:rFonts w:eastAsia="" w:cs="Arial" w:ascii="Verdana" w:hAnsi="Verdana" w:eastAsiaTheme="majorEastAsia"/>
          <w:b/>
          <w:bCs/>
          <w:color w:val="000000"/>
          <w:kern w:val="0"/>
          <w:sz w:val="22"/>
          <w:szCs w:val="22"/>
          <w:lang w:val="pt-BR" w:eastAsia="pt-BR" w:bidi="ar-SA"/>
        </w:rPr>
        <w:t>VALTAMIR FARONI</w:t>
      </w:r>
    </w:p>
    <w:p>
      <w:pPr>
        <w:pStyle w:val="Normal"/>
        <w:keepNext w:val="true"/>
        <w:keepLines/>
        <w:numPr>
          <w:ilvl w:val="0"/>
          <w:numId w:val="0"/>
        </w:numPr>
        <w:tabs>
          <w:tab w:val="clear" w:pos="720"/>
          <w:tab w:val="left" w:pos="567" w:leader="none"/>
        </w:tabs>
        <w:ind w:left="360" w:hanging="0"/>
        <w:jc w:val="center"/>
        <w:outlineLvl w:val="0"/>
        <w:rPr>
          <w:rFonts w:ascii="Verdana" w:hAnsi="Verdana" w:eastAsia="" w:cs="Arial" w:eastAsiaTheme="majorEastAsia"/>
          <w:b/>
          <w:b/>
          <w:bCs/>
          <w:color w:val="000000"/>
          <w:kern w:val="0"/>
          <w:sz w:val="22"/>
          <w:szCs w:val="22"/>
          <w:lang w:val="pt-BR" w:eastAsia="pt-BR" w:bidi="ar-SA"/>
        </w:rPr>
      </w:pPr>
      <w:r>
        <w:rPr>
          <w:rFonts w:eastAsia="" w:cs="Arial" w:ascii="Verdana" w:hAnsi="Verdana" w:eastAsiaTheme="majorEastAsia"/>
          <w:b/>
          <w:bCs/>
          <w:color w:val="000000"/>
          <w:kern w:val="0"/>
          <w:sz w:val="22"/>
          <w:szCs w:val="22"/>
          <w:lang w:val="pt-BR" w:eastAsia="pt-BR" w:bidi="ar-SA"/>
        </w:rPr>
        <w:t>Secretário Municipal de Saúde</w:t>
      </w:r>
    </w:p>
    <w:sectPr>
      <w:headerReference w:type="default" r:id="rId12"/>
      <w:footerReference w:type="default" r:id="rId13"/>
      <w:type w:val="nextPage"/>
      <w:pgSz w:w="11906" w:h="16838"/>
      <w:pgMar w:left="1367" w:right="872" w:header="517" w:top="1767" w:footer="157" w:bottom="671"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 w:name="Verdan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bealho"/>
      <w:jc w:val="center"/>
      <w:rPr>
        <w:rFonts w:ascii="Calibri" w:hAnsi="Calibri" w:cs="Calibri"/>
        <w:b/>
        <w:b/>
        <w:bCs/>
        <w:sz w:val="20"/>
        <w:szCs w:val="20"/>
      </w:rPr>
    </w:pPr>
    <w:r>
      <w:rPr>
        <w:rFonts w:cs="Calibri" w:ascii="Calibri" w:hAnsi="Calibri"/>
        <w:b/>
        <w:bCs/>
        <w:sz w:val="20"/>
        <w:szCs w:val="20"/>
      </w:rPr>
      <w:t>Praça Vicente Glazar nº 159, Centro, São Gabriel da Palha, ES. CEP. 29.780-000.</w:t>
    </w:r>
  </w:p>
  <w:p>
    <w:pPr>
      <w:pStyle w:val="Cabealho"/>
      <w:jc w:val="center"/>
      <w:rPr>
        <w:rFonts w:ascii="Calibri" w:hAnsi="Calibri" w:cs="Calibri"/>
        <w:b/>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jc w:val="center"/>
      <w:rPr/>
    </w:pPr>
    <w:r>
      <w:rPr>
        <w:rFonts w:cs="Verdana" w:ascii="Verdana" w:hAnsi="Verdana"/>
        <w:sz w:val="26"/>
        <w:szCs w:val="26"/>
      </w:rPr>
      <w:t>PREFEITURA MUNICIPAL DE SÃO GABRIEL DA PALHA</w:t>
    </w:r>
    <w:r>
      <w:rPr>
        <w:rFonts w:cs="Verdana" w:ascii="Verdana" w:hAnsi="Verdana"/>
        <w:b/>
        <w:sz w:val="26"/>
        <w:szCs w:val="26"/>
      </w:rPr>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2"/>
        <w:i w:val="false"/>
        <w:u w:val="none"/>
        <w:b w:val="false"/>
        <w:szCs w:val="22"/>
        <w:rFonts w:ascii="Verdana" w:hAnsi="Verdana" w:cs="Arial"/>
        <w:color w:val="auto"/>
      </w:rPr>
    </w:lvl>
    <w:lvl w:ilvl="2">
      <w:start w:val="1"/>
      <w:numFmt w:val="decimal"/>
      <w:lvlText w:val="%1.%2.%3."/>
      <w:lvlJc w:val="left"/>
      <w:pPr>
        <w:tabs>
          <w:tab w:val="num" w:pos="0"/>
        </w:tabs>
        <w:ind w:left="1638" w:hanging="504"/>
      </w:pPr>
      <w:rPr>
        <w:dstrike w:val="false"/>
        <w:strike w:val="false"/>
        <w:sz w:val="22"/>
        <w:i w:val="false"/>
        <w:b w:val="false"/>
        <w:szCs w:val="22"/>
        <w:rFonts w:ascii="Verdana" w:hAnsi="Verdana" w:cs="Arial"/>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bering>
</file>

<file path=word/settings.xml><?xml version="1.0" encoding="utf-8"?>
<w:settings xmlns:w="http://schemas.openxmlformats.org/wordprocessingml/2006/main">
  <w:zoom w:percent="9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a3a05"/>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Ttulo1">
    <w:name w:val="Heading 1"/>
    <w:basedOn w:val="Normal"/>
    <w:next w:val="Normal"/>
    <w:link w:val="Ttulo1Char"/>
    <w:qFormat/>
    <w:rsid w:val="007f77ad"/>
    <w:pPr>
      <w:keepNext w:val="true"/>
      <w:keepLines/>
      <w:spacing w:before="480" w:after="0"/>
      <w:outlineLvl w:val="0"/>
    </w:pPr>
    <w:rPr>
      <w:rFonts w:ascii="Calibri" w:hAnsi="Calibri" w:eastAsia="" w:cs="" w:asciiTheme="majorHAnsi" w:cstheme="majorBidi" w:eastAsiaTheme="majorEastAsia" w:hAnsiTheme="majorHAnsi"/>
      <w:b/>
      <w:bCs/>
      <w:color w:val="365F91" w:themeColor="accent1" w:themeShade="bf"/>
      <w:sz w:val="28"/>
      <w:szCs w:val="28"/>
    </w:rPr>
  </w:style>
  <w:style w:type="paragraph" w:styleId="Ttulo2">
    <w:name w:val="Heading 2"/>
    <w:basedOn w:val="Normal"/>
    <w:next w:val="Normal"/>
    <w:link w:val="Ttulo2Char"/>
    <w:qFormat/>
    <w:rsid w:val="004b460a"/>
    <w:pPr>
      <w:keepNext w:val="true"/>
      <w:tabs>
        <w:tab w:val="clear" w:pos="720"/>
        <w:tab w:val="left" w:pos="1701" w:leader="none"/>
      </w:tabs>
      <w:ind w:right="-1" w:hanging="0"/>
      <w:jc w:val="center"/>
      <w:outlineLvl w:val="1"/>
    </w:pPr>
    <w:rPr>
      <w:rFonts w:ascii="Times New Roman" w:hAnsi="Times New Roman" w:cs="Times New Roman"/>
      <w:b/>
      <w:color w:val="000000"/>
      <w:szCs w:val="20"/>
    </w:rPr>
  </w:style>
  <w:style w:type="paragraph" w:styleId="Ttulo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val="365F91" w:themeColor="accent1" w:themeShade="bf"/>
    </w:rPr>
  </w:style>
  <w:style w:type="character" w:styleId="DefaultParagraphFont" w:default="1">
    <w:name w:val="Default Paragraph Font"/>
    <w:uiPriority w:val="1"/>
    <w:semiHidden/>
    <w:unhideWhenUsed/>
    <w:qFormat/>
    <w:rPr/>
  </w:style>
  <w:style w:type="character" w:styleId="TextodebaloChar" w:customStyle="1">
    <w:name w:val="Texto de balão Char"/>
    <w:link w:val="Textodebalo"/>
    <w:qFormat/>
    <w:rsid w:val="003a73c1"/>
    <w:rPr>
      <w:rFonts w:ascii="Tahoma" w:hAnsi="Tahoma" w:cs="Tahoma"/>
      <w:sz w:val="16"/>
      <w:szCs w:val="16"/>
    </w:rPr>
  </w:style>
  <w:style w:type="character" w:styleId="Ttulo2Char" w:customStyle="1">
    <w:name w:val="Título 2 Char"/>
    <w:link w:val="Ttulo2"/>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name w:val="Link da Internet"/>
    <w:rsid w:val="00bf1a7f"/>
    <w:rPr>
      <w:color w:val="000080"/>
      <w:u w:val="single"/>
    </w:rPr>
  </w:style>
  <w:style w:type="character" w:styleId="CitaoChar" w:customStyle="1">
    <w:name w:val="Citação Char"/>
    <w:link w:val="Citao"/>
    <w:qFormat/>
    <w:rsid w:val="00080b53"/>
    <w:rPr>
      <w:rFonts w:ascii="Arial" w:hAnsi="Arial" w:eastAsia="Calibri" w:cs="Tahoma"/>
      <w:i/>
      <w:iCs/>
      <w:color w:val="000000"/>
      <w:szCs w:val="24"/>
      <w:shd w:fill="FFFFCC" w:val="clear"/>
    </w:rPr>
  </w:style>
  <w:style w:type="character" w:styleId="Citao2Char" w:customStyle="1">
    <w:name w:val="citação 2 Char"/>
    <w:basedOn w:val="CitaoChar"/>
    <w:link w:val="citao2"/>
    <w:qFormat/>
    <w:rsid w:val="000a23da"/>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link w:val="Cabealho"/>
    <w:qFormat/>
    <w:rsid w:val="00ca24fb"/>
    <w:rPr>
      <w:rFonts w:ascii="Ecofont_Spranq_eco_Sans" w:hAnsi="Ecofont_Spranq_eco_Sans" w:cs="Tahoma"/>
      <w:sz w:val="24"/>
      <w:szCs w:val="24"/>
    </w:rPr>
  </w:style>
  <w:style w:type="character" w:styleId="RodapChar" w:customStyle="1">
    <w:name w:val="Rodapé Char"/>
    <w:link w:val="Rodap"/>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Textodecomentrio"/>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styleId="Ttulo4Char" w:customStyle="1">
    <w:name w:val="Título 4 Char"/>
    <w:basedOn w:val="DefaultParagraphFont"/>
    <w:link w:val="Ttulo4"/>
    <w:qFormat/>
    <w:rsid w:val="00a45a85"/>
    <w:rPr>
      <w:rFonts w:ascii="Calibri" w:hAnsi="Calibri" w:eastAsia="" w:cs=""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link w:val="Ttulo"/>
    <w:qFormat/>
    <w:rsid w:val="007f77ad"/>
    <w:rPr>
      <w:rFonts w:ascii="Calibri" w:hAnsi="Calibri" w:eastAsia="" w:cs=""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link w:val="Nivel01"/>
    <w:qFormat/>
    <w:rsid w:val="007f77ad"/>
    <w:rPr>
      <w:rFonts w:ascii="Ecofont_Spranq_eco_Sans" w:hAnsi="Ecofont_Spranq_eco_Sans" w:eastAsia="" w:cs="" w:cstheme="majorBidi" w:eastAsiaTheme="majorEastAsia"/>
      <w:b/>
      <w:bCs/>
      <w:color w:val="000000"/>
      <w:spacing w:val="5"/>
      <w:kern w:val="2"/>
      <w:sz w:val="52"/>
      <w:szCs w:val="52"/>
      <w:lang w:eastAsia="pt-BR"/>
    </w:rPr>
  </w:style>
  <w:style w:type="character" w:styleId="Ttulo1Char" w:customStyle="1">
    <w:name w:val="Título 1 Char"/>
    <w:basedOn w:val="DefaultParagraphFont"/>
    <w:link w:val="Ttulo1"/>
    <w:qFormat/>
    <w:rsid w:val="007f77ad"/>
    <w:rPr>
      <w:rFonts w:ascii="Calibri" w:hAnsi="Calibri" w:eastAsia="" w:cs=""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link w:val="Nivel01Titulo"/>
    <w:qFormat/>
    <w:rsid w:val="00e967ea"/>
    <w:rPr>
      <w:rFonts w:ascii="Ecofont_Spranq_eco_Sans" w:hAnsi="Ecofont_Spranq_eco_Sans" w:eastAsia="" w:cs=""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link w:val="Corpodetexto"/>
    <w:uiPriority w:val="99"/>
    <w:qFormat/>
    <w:rsid w:val="00405763"/>
    <w:rPr>
      <w:rFonts w:eastAsia="Times New Roman"/>
      <w:sz w:val="24"/>
      <w:szCs w:val="24"/>
      <w:lang w:eastAsia="pt-BR"/>
    </w:rPr>
  </w:style>
  <w:style w:type="character" w:styleId="Nivel1Char" w:customStyle="1">
    <w:name w:val="Nivel1 Char"/>
    <w:basedOn w:val="Ttulo1Char"/>
    <w:link w:val="Nivel10"/>
    <w:qFormat/>
    <w:rsid w:val="001b6423"/>
    <w:rPr>
      <w:rFonts w:ascii="Arial" w:hAnsi="Arial" w:eastAsia="" w:cs="Arial" w:eastAsiaTheme="majorEastAsia"/>
      <w:b/>
      <w:bCs w:val="false"/>
      <w:color w:val="000000"/>
      <w:sz w:val="28"/>
      <w:szCs w:val="28"/>
      <w:lang w:eastAsia="pt-BR"/>
    </w:rPr>
  </w:style>
  <w:style w:type="character" w:styleId="Nivel4Char" w:customStyle="1">
    <w:name w:val="Nivel 4 Char"/>
    <w:basedOn w:val="DefaultParagraphFont"/>
    <w:link w:val="Nivel4"/>
    <w:qFormat/>
    <w:rsid w:val="003629e4"/>
    <w:rPr>
      <w:rFonts w:ascii="Ecofont_Spranq_eco_Sans" w:hAnsi="Ecofont_Spranq_eco_Sans" w:eastAsia="Arial Unicode MS" w:cs="Arial"/>
      <w:lang w:eastAsia="pt-BR"/>
    </w:rPr>
  </w:style>
  <w:style w:type="character" w:styleId="UnresolvedMention" w:customStyle="1">
    <w:name w:val="Unresolved Mention"/>
    <w:basedOn w:val="DefaultParagraphFont"/>
    <w:uiPriority w:val="99"/>
    <w:semiHidden/>
    <w:unhideWhenUsed/>
    <w:qFormat/>
    <w:rsid w:val="00ee6941"/>
    <w:rPr>
      <w:color w:val="605E5C"/>
      <w:shd w:fill="E1DFDD" w:val="clear"/>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link w:val="CorpodetextoChar"/>
    <w:uiPriority w:val="99"/>
    <w:unhideWhenUsed/>
    <w:rsid w:val="00405763"/>
    <w:pPr>
      <w:spacing w:beforeAutospacing="1" w:afterAutospacing="1"/>
    </w:pPr>
    <w:rPr>
      <w:rFonts w:ascii="Times New Roman" w:hAnsi="Times New Roman" w:eastAsia="Times New Roman" w:cs="Times New Roman"/>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4773fc"/>
    <w:pPr>
      <w:spacing w:before="0" w:after="0"/>
      <w:ind w:left="720" w:hanging="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qFormat/>
    <w:rsid w:val="003a73c1"/>
    <w:pPr/>
    <w:rPr>
      <w:rFonts w:ascii="Tahoma" w:hAnsi="Tahoma"/>
      <w:sz w:val="16"/>
      <w:szCs w:val="16"/>
    </w:rPr>
  </w:style>
  <w:style w:type="paragraph" w:styleId="Nvel2" w:customStyle="1">
    <w:name w:val="Nível 2"/>
    <w:basedOn w:val="Normal"/>
    <w:next w:val="Normal"/>
    <w:qFormat/>
    <w:rsid w:val="004b460a"/>
    <w:pPr>
      <w:spacing w:before="0" w:after="120"/>
      <w:jc w:val="both"/>
    </w:pPr>
    <w:rPr>
      <w:rFonts w:ascii="Arial" w:hAnsi="Arial" w:cs="Times New Roman"/>
      <w:b/>
      <w:szCs w:val="20"/>
    </w:rPr>
  </w:style>
  <w:style w:type="paragraph" w:styleId="Quote">
    <w:name w:val="Quote"/>
    <w:basedOn w:val="Normal"/>
    <w:next w:val="Normal"/>
    <w:link w:val="CitaoChar"/>
    <w:qFormat/>
    <w:rsid w:val="00080b5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rsid w:val="001a3a05"/>
    <w:pPr>
      <w:numPr>
        <w:ilvl w:val="0"/>
        <w:numId w:val="1"/>
      </w:numPr>
      <w:spacing w:before="0" w:after="0"/>
      <w:contextualSpacing/>
    </w:pPr>
    <w:rPr/>
  </w:style>
  <w:style w:type="paragraph" w:styleId="Citao2" w:customStyle="1">
    <w:name w:val="citação 2"/>
    <w:basedOn w:val="Quote"/>
    <w:link w:val="citao2Char"/>
    <w:qFormat/>
    <w:rsid w:val="000a23da"/>
    <w:pPr>
      <w:shd w:val="clear" w:fill="FFFFCC"/>
    </w:pPr>
    <w:rPr>
      <w:szCs w:val="20"/>
    </w:rPr>
  </w:style>
  <w:style w:type="paragraph" w:styleId="CabealhoeRodap">
    <w:name w:val="Cabeçalho e Rodapé"/>
    <w:basedOn w:val="Normal"/>
    <w:qFormat/>
    <w:pPr/>
    <w:rPr/>
  </w:style>
  <w:style w:type="paragraph" w:styleId="Cabealho">
    <w:name w:val="Header"/>
    <w:basedOn w:val="Normal"/>
    <w:link w:val="CabealhoChar"/>
    <w:rsid w:val="00ca24fb"/>
    <w:pPr>
      <w:tabs>
        <w:tab w:val="clear" w:pos="720"/>
        <w:tab w:val="center" w:pos="4252" w:leader="none"/>
        <w:tab w:val="right" w:pos="8504" w:leader="none"/>
      </w:tabs>
    </w:pPr>
    <w:rPr/>
  </w:style>
  <w:style w:type="paragraph" w:styleId="Rodap">
    <w:name w:val="Footer"/>
    <w:basedOn w:val="Normal"/>
    <w:link w:val="RodapChar"/>
    <w:uiPriority w:val="99"/>
    <w:rsid w:val="00ca24fb"/>
    <w:pPr>
      <w:tabs>
        <w:tab w:val="clear" w:pos="720"/>
        <w:tab w:val="center" w:pos="4252" w:leader="none"/>
        <w:tab w:val="right" w:pos="8504" w:leader="none"/>
      </w:tabs>
    </w:pPr>
    <w:rPr/>
  </w:style>
  <w:style w:type="paragraph" w:styleId="Annotationtext">
    <w:name w:val="annotation text"/>
    <w:basedOn w:val="Normal"/>
    <w:link w:val="TextodecomentrioChar"/>
    <w:uiPriority w:val="99"/>
    <w:unhideWhenUsed/>
    <w:qFormat/>
    <w:rsid w:val="00430fdb"/>
    <w:pPr/>
    <w:rPr>
      <w:sz w:val="20"/>
      <w:szCs w:val="20"/>
    </w:rPr>
  </w:style>
  <w:style w:type="paragraph" w:styleId="Annotationsubject">
    <w:name w:val="annotation subject"/>
    <w:basedOn w:val="Annotationtext"/>
    <w:next w:val="Annotationtext"/>
    <w:link w:val="AssuntodocomentrioChar"/>
    <w:semiHidden/>
    <w:unhideWhenUsed/>
    <w:qFormat/>
    <w:rsid w:val="00430fdb"/>
    <w:pPr/>
    <w:rPr>
      <w:b/>
      <w:bCs/>
    </w:rPr>
  </w:style>
  <w:style w:type="paragraph" w:styleId="Nivel01" w:customStyle="1">
    <w:name w:val="Nivel 01"/>
    <w:basedOn w:val="Ttulo1"/>
    <w:next w:val="Normal"/>
    <w:link w:val="Nivel01Char"/>
    <w:qFormat/>
    <w:rsid w:val="007f77ad"/>
    <w:pPr>
      <w:tabs>
        <w:tab w:val="clear" w:pos="720"/>
        <w:tab w:val="left" w:pos="567" w:leader="none"/>
      </w:tabs>
      <w:spacing w:before="240" w:after="0"/>
      <w:jc w:val="both"/>
    </w:pPr>
    <w:rPr>
      <w:rFonts w:ascii="Ecofont_Spranq_eco_Sans" w:hAnsi="Ecofont_Spranq_eco_Sans" w:cs="Times New Roman"/>
      <w:color w:val="000000"/>
      <w:sz w:val="20"/>
      <w:szCs w:val="20"/>
    </w:rPr>
  </w:style>
  <w:style w:type="paragraph" w:styleId="Nivel01Titulo" w:customStyle="1">
    <w:name w:val="Nivel_01_Titulo"/>
    <w:basedOn w:val="Nivel01"/>
    <w:link w:val="Nivel01TituloChar"/>
    <w:qFormat/>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rsid w:val="007f77ad"/>
    <w:pPr>
      <w:pBdr>
        <w:bottom w:val="single" w:sz="8" w:space="4" w:color="4F81BD"/>
      </w:pBdr>
      <w:spacing w:before="0" w:after="300"/>
      <w:contextualSpacing/>
    </w:pPr>
    <w:rPr>
      <w:rFonts w:ascii="Calibri" w:hAnsi="Calibri" w:eastAsia="" w:cs="" w:asciiTheme="majorHAnsi" w:cstheme="majorBidi" w:eastAsiaTheme="majorEastAsia" w:hAnsiTheme="majorHAnsi"/>
      <w:color w:val="17365D" w:themeColor="text2" w:themeShade="bf"/>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b77761"/>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53119e"/>
    <w:pPr>
      <w:spacing w:beforeAutospacing="1" w:afterAutospacing="1"/>
    </w:pPr>
    <w:rPr>
      <w:rFonts w:ascii="Times New Roman" w:hAnsi="Times New Roman" w:eastAsia="Times New Roman" w:cs="Times New Roman"/>
    </w:rPr>
  </w:style>
  <w:style w:type="paragraph" w:styleId="Nivel1" w:customStyle="1">
    <w:name w:val="Nivel1"/>
    <w:basedOn w:val="Ttulo1"/>
    <w:link w:val="Nivel1Char"/>
    <w:qFormat/>
    <w:rsid w:val="001b6423"/>
    <w:pPr>
      <w:spacing w:lineRule="auto" w:line="276"/>
      <w:ind w:left="357" w:hanging="357"/>
      <w:jc w:val="both"/>
    </w:pPr>
    <w:rPr>
      <w:rFonts w:ascii="Arial" w:hAnsi="Arial" w:cs="Arial"/>
      <w:bCs w:val="false"/>
      <w:color w:val="000000"/>
    </w:rPr>
  </w:style>
  <w:style w:type="paragraph" w:styleId="PargrafodaLista1" w:customStyle="1">
    <w:name w:val="Parágrafo da Lista1"/>
    <w:basedOn w:val="Normal"/>
    <w:qFormat/>
    <w:rsid w:val="00e84570"/>
    <w:pPr>
      <w:ind w:left="720" w:hanging="0"/>
    </w:pPr>
    <w:rPr>
      <w:rFonts w:eastAsia="Times New Roman" w:cs="Ecofont_Spranq_eco_Sans"/>
    </w:rPr>
  </w:style>
  <w:style w:type="paragraph" w:styleId="Nivel2" w:customStyle="1">
    <w:name w:val="Nivel 2"/>
    <w:qFormat/>
    <w:rsid w:val="003629e4"/>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3629e4"/>
    <w:pPr/>
    <w:rPr>
      <w:rFonts w:cs="Arial"/>
      <w:b/>
    </w:rPr>
  </w:style>
  <w:style w:type="paragraph" w:styleId="Nivel3" w:customStyle="1">
    <w:name w:val="Nivel 3"/>
    <w:basedOn w:val="Nivel2"/>
    <w:qFormat/>
    <w:rsid w:val="003629e4"/>
    <w:pPr/>
    <w:rPr>
      <w:rFonts w:cs="Arial"/>
      <w:color w:val="000000"/>
    </w:rPr>
  </w:style>
  <w:style w:type="paragraph" w:styleId="Nivel4" w:customStyle="1">
    <w:name w:val="Nivel 4"/>
    <w:basedOn w:val="Nivel3"/>
    <w:link w:val="Nivel4Char"/>
    <w:qFormat/>
    <w:rsid w:val="003629e4"/>
    <w:pPr/>
    <w:rPr>
      <w:color w:val="auto"/>
    </w:rPr>
  </w:style>
  <w:style w:type="paragraph" w:styleId="Nivel5" w:customStyle="1">
    <w:name w:val="Nivel 5"/>
    <w:basedOn w:val="Nivel4"/>
    <w:qFormat/>
    <w:rsid w:val="003629e4"/>
    <w:pPr>
      <w:ind w:left="3348" w:hanging="1080"/>
    </w:pPr>
    <w:rPr/>
  </w:style>
  <w:style w:type="paragraph" w:styleId="Textbody" w:customStyle="1">
    <w:name w:val="textbody"/>
    <w:basedOn w:val="Normal"/>
    <w:qFormat/>
    <w:rsid w:val="00d87e37"/>
    <w:pPr>
      <w:spacing w:beforeAutospacing="1" w:afterAutospacing="1"/>
    </w:pPr>
    <w:rPr>
      <w:rFonts w:ascii="Times New Roman" w:hAnsi="Times New Roman" w:eastAsia="Times New Roman" w:cs="Times New Roman"/>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numbering" w:styleId="WW8Num6">
    <w:name w:val="WW8Num6"/>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comprasgovernamentais.gov.br/" TargetMode="External"/><Relationship Id="rId4" Type="http://schemas.openxmlformats.org/officeDocument/2006/relationships/hyperlink" Target="http://www.comprasgovernamentais.gov.br/" TargetMode="External"/><Relationship Id="rId5" Type="http://schemas.openxmlformats.org/officeDocument/2006/relationships/hyperlink" Target="http://www.portaldatransparencia.gov.br/ceis" TargetMode="External"/><Relationship Id="rId6" Type="http://schemas.openxmlformats.org/officeDocument/2006/relationships/hyperlink" Target="http://www.cnj.jus.br/improbidade_adm/consultar_requerido.php" TargetMode="External"/><Relationship Id="rId7" Type="http://schemas.openxmlformats.org/officeDocument/2006/relationships/hyperlink" Target="https://www.tcees.tc.br/portal-da-transparencia/consultas/lista-de" TargetMode="External"/><Relationship Id="rId8" Type="http://schemas.openxmlformats.org/officeDocument/2006/relationships/hyperlink" Target="https://certidoesapf.apps.tcu.gov.br/" TargetMode="External"/><Relationship Id="rId9" Type="http://schemas.openxmlformats.org/officeDocument/2006/relationships/hyperlink" Target="http://www.portaldoempreendedor.gov.br/"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numbering" Target="numbering.xml"/><Relationship Id="rId15" Type="http://schemas.openxmlformats.org/officeDocument/2006/relationships/fontTable" Target="fontTable.xml"/><Relationship Id="rId16" Type="http://schemas.openxmlformats.org/officeDocument/2006/relationships/settings" Target="settings.xml"/><Relationship Id="rId17" Type="http://schemas.openxmlformats.org/officeDocument/2006/relationships/theme" Target="theme/theme1.xml"/><Relationship Id="rId18" Type="http://schemas.openxmlformats.org/officeDocument/2006/relationships/customXml" Target="../customXml/item1.xml"/><Relationship Id="rId19" Type="http://schemas.openxmlformats.org/officeDocument/2006/relationships/customXml" Target="../customXml/item2.xml"/><Relationship Id="rId20" Type="http://schemas.openxmlformats.org/officeDocument/2006/relationships/customXml" Target="../customXml/item3.xml"/><Relationship Id="rId21"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5" ma:contentTypeDescription="Create a new document." ma:contentTypeScope="" ma:versionID="1a32e2f446280d33d3519870995d379e">
  <xsd:schema xmlns:xsd="http://www.w3.org/2001/XMLSchema" xmlns:xs="http://www.w3.org/2001/XMLSchema" xmlns:p="http://schemas.microsoft.com/office/2006/metadata/properties" xmlns:ns2="52c93ea8-e2de-466c-b401-d7fabeb9490e" targetNamespace="http://schemas.microsoft.com/office/2006/metadata/properties" ma:root="true" ma:fieldsID="bc125362b206d62c35a4e093b811c429"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47430C-91A2-47FC-96BA-E3074243B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B523EAA1-74E7-4BF7-94FC-4F9BA3853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minuta.dotx</Template>
  <TotalTime>1093</TotalTime>
  <Application>LibreOffice/7.0.1.2$Windows_X86_64 LibreOffice_project/7cbcfc562f6eb6708b5ff7d7397325de9e764452</Application>
  <Pages>20</Pages>
  <Words>7691</Words>
  <Characters>43731</Characters>
  <CharactersWithSpaces>51061</CharactersWithSpaces>
  <Paragraphs>291</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2022-05-25T13:26:23Z</cp:lastPrinted>
  <dcterms:modified xsi:type="dcterms:W3CDTF">2022-05-26T16:31:53Z</dcterms:modified>
  <cp:revision>86</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AGU</vt:lpwstr>
  </property>
  <property fmtid="{D5CDD505-2E9C-101B-9397-08002B2CF9AE}" pid="4" name="ContentTypeId">
    <vt:lpwstr>0x01010012A2765E7DFD38469B2E626874CD0041</vt:lpwstr>
  </property>
  <property fmtid="{D5CDD505-2E9C-101B-9397-08002B2CF9AE}" pid="5" name="DocSecurity">
    <vt:i4>0</vt:i4>
  </property>
  <property fmtid="{D5CDD505-2E9C-101B-9397-08002B2CF9AE}" pid="6" name="HyperlinksChanged">
    <vt:bool>0</vt:bool>
  </property>
  <property fmtid="{D5CDD505-2E9C-101B-9397-08002B2CF9AE}" pid="7" name="LinksUpToDate">
    <vt:bool>0</vt:bool>
  </property>
  <property fmtid="{D5CDD505-2E9C-101B-9397-08002B2CF9AE}" pid="8" name="ScaleCrop">
    <vt:bool>0</vt:bool>
  </property>
  <property fmtid="{D5CDD505-2E9C-101B-9397-08002B2CF9AE}" pid="9" name="ShareDoc">
    <vt:bool>0</vt:bool>
  </property>
</Properties>
</file>